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A2E3B" w14:textId="77777777" w:rsidR="00EB6D94" w:rsidRPr="00504E2C" w:rsidRDefault="00EB6D94" w:rsidP="00EB6D94">
      <w:pPr>
        <w:tabs>
          <w:tab w:val="left" w:pos="1830"/>
          <w:tab w:val="center" w:pos="5344"/>
        </w:tabs>
        <w:spacing w:after="0"/>
        <w:jc w:val="center"/>
        <w:rPr>
          <w:rFonts w:asciiTheme="minorHAnsi" w:eastAsia="Times New Roman" w:hAnsiTheme="minorHAnsi" w:cstheme="minorHAnsi"/>
          <w:b/>
          <w:color w:val="000000"/>
          <w:spacing w:val="30"/>
          <w:sz w:val="32"/>
          <w:szCs w:val="32"/>
          <w:lang w:val="es-ES" w:eastAsia="es-ES"/>
        </w:rPr>
      </w:pPr>
    </w:p>
    <w:p w14:paraId="0CCC36B9" w14:textId="77777777" w:rsidR="00EB6D94" w:rsidRPr="004D377C" w:rsidRDefault="00EB6D94" w:rsidP="00EB6D94">
      <w:pPr>
        <w:spacing w:after="0" w:line="240" w:lineRule="auto"/>
        <w:jc w:val="center"/>
        <w:rPr>
          <w:rFonts w:ascii="Arial" w:hAnsi="Arial" w:cs="Arial"/>
          <w:b/>
          <w:spacing w:val="30"/>
          <w:sz w:val="56"/>
          <w:szCs w:val="40"/>
          <w:lang w:val="es-MX"/>
        </w:rPr>
      </w:pPr>
      <w:r w:rsidRPr="004D377C">
        <w:rPr>
          <w:rFonts w:ascii="Arial" w:hAnsi="Arial" w:cs="Arial"/>
          <w:b/>
          <w:spacing w:val="30"/>
          <w:sz w:val="36"/>
        </w:rPr>
        <w:t>REPÚBLICA DEL PARAGUAY</w:t>
      </w:r>
    </w:p>
    <w:p w14:paraId="115C0DE8" w14:textId="77777777" w:rsidR="00EB6D94" w:rsidRDefault="00EB6D94" w:rsidP="00EB6D94">
      <w:pPr>
        <w:spacing w:after="0" w:line="240" w:lineRule="auto"/>
        <w:jc w:val="center"/>
        <w:rPr>
          <w:rFonts w:ascii="Arial" w:hAnsi="Arial" w:cs="Arial"/>
          <w:b/>
          <w:sz w:val="36"/>
          <w:szCs w:val="40"/>
          <w:lang w:val="es-MX"/>
        </w:rPr>
      </w:pPr>
    </w:p>
    <w:p w14:paraId="138E47B0" w14:textId="77777777" w:rsidR="00EB6D94" w:rsidRDefault="00EB6D94" w:rsidP="00EB6D94">
      <w:pPr>
        <w:spacing w:after="0" w:line="240" w:lineRule="auto"/>
        <w:jc w:val="center"/>
        <w:rPr>
          <w:rFonts w:ascii="Arial" w:hAnsi="Arial" w:cs="Arial"/>
          <w:b/>
          <w:sz w:val="36"/>
          <w:szCs w:val="40"/>
          <w:lang w:val="es-MX"/>
        </w:rPr>
      </w:pPr>
    </w:p>
    <w:p w14:paraId="2560A1BD" w14:textId="551F84CF" w:rsidR="00EB6D94" w:rsidRDefault="0027167B" w:rsidP="00EB6D94">
      <w:pPr>
        <w:spacing w:after="0" w:line="240" w:lineRule="auto"/>
        <w:jc w:val="center"/>
        <w:rPr>
          <w:rFonts w:ascii="Arial" w:hAnsi="Arial" w:cs="Arial"/>
          <w:b/>
          <w:sz w:val="36"/>
          <w:szCs w:val="40"/>
          <w:lang w:val="es-MX"/>
        </w:rPr>
      </w:pPr>
      <w:r>
        <w:rPr>
          <w:rFonts w:ascii="Arial" w:hAnsi="Arial" w:cs="Arial"/>
          <w:b/>
          <w:sz w:val="36"/>
          <w:szCs w:val="40"/>
          <w:lang w:val="es-MX"/>
        </w:rPr>
        <w:t>RECTORADO DE LA UNA</w:t>
      </w:r>
    </w:p>
    <w:p w14:paraId="07299D71" w14:textId="77777777" w:rsidR="00EB6D94" w:rsidRDefault="00EB6D94" w:rsidP="00EB6D94">
      <w:pPr>
        <w:spacing w:after="0" w:line="240" w:lineRule="auto"/>
        <w:jc w:val="center"/>
        <w:rPr>
          <w:rFonts w:ascii="Arial" w:hAnsi="Arial" w:cs="Arial"/>
          <w:b/>
          <w:sz w:val="36"/>
          <w:szCs w:val="40"/>
          <w:lang w:val="es-MX"/>
        </w:rPr>
      </w:pPr>
    </w:p>
    <w:p w14:paraId="628999FE" w14:textId="7B0076D4" w:rsidR="002B398A" w:rsidRPr="00695F74" w:rsidRDefault="00AF116F" w:rsidP="00581335">
      <w:pPr>
        <w:pStyle w:val="Hipervnculo"/>
        <w:pBdr>
          <w:top w:val="single" w:sz="4" w:space="1" w:color="auto"/>
          <w:left w:val="single" w:sz="4" w:space="4" w:color="auto"/>
          <w:bottom w:val="single" w:sz="4" w:space="1" w:color="auto"/>
          <w:right w:val="single" w:sz="4" w:space="4" w:color="auto"/>
        </w:pBdr>
        <w:shd w:val="clear" w:color="auto" w:fill="AA3C3C"/>
        <w:tabs>
          <w:tab w:val="left" w:pos="0"/>
          <w:tab w:val="left" w:pos="2196"/>
          <w:tab w:val="center" w:pos="4422"/>
        </w:tabs>
        <w:ind w:left="340"/>
        <w:jc w:val="center"/>
        <w:rPr>
          <w:rFonts w:asciiTheme="minorHAnsi" w:hAnsiTheme="minorHAnsi" w:cstheme="minorHAnsi"/>
          <w:i/>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i/>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PROCEDIMIENTO DE ADQUISICIÓN </w:t>
      </w:r>
      <w:r w:rsidRPr="00695F74">
        <w:rPr>
          <w:rFonts w:asciiTheme="minorHAnsi" w:hAnsiTheme="minorHAnsi" w:cstheme="minorHAnsi"/>
          <w:i/>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UGPI</w:t>
      </w:r>
      <w:r w:rsidR="002B398A">
        <w:rPr>
          <w:rFonts w:asciiTheme="minorHAnsi" w:hAnsiTheme="minorHAnsi" w:cstheme="minorHAnsi"/>
          <w:i/>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 00</w:t>
      </w:r>
      <w:r w:rsidR="001B2AAF">
        <w:rPr>
          <w:rFonts w:asciiTheme="minorHAnsi" w:hAnsiTheme="minorHAnsi" w:cstheme="minorHAnsi"/>
          <w:i/>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2B398A">
        <w:rPr>
          <w:rFonts w:asciiTheme="minorHAnsi" w:hAnsiTheme="minorHAnsi" w:cstheme="minorHAnsi"/>
          <w:i/>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CF749D">
        <w:rPr>
          <w:rFonts w:asciiTheme="minorHAnsi" w:hAnsiTheme="minorHAnsi" w:cstheme="minorHAnsi"/>
          <w:i/>
          <w:color w:val="000000" w:themeColor="text1"/>
          <w:sz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53E589FA" w14:textId="3C9785D1" w:rsidR="00EB6D94" w:rsidRPr="00DB615E" w:rsidRDefault="00EB6D94" w:rsidP="00EB6D94">
      <w:pPr>
        <w:spacing w:after="0" w:line="240" w:lineRule="auto"/>
        <w:jc w:val="center"/>
        <w:rPr>
          <w:rFonts w:ascii="Arial" w:hAnsi="Arial" w:cs="Arial"/>
          <w:b/>
          <w:sz w:val="36"/>
          <w:szCs w:val="40"/>
          <w:lang w:val="es-ES"/>
        </w:rPr>
      </w:pPr>
    </w:p>
    <w:p w14:paraId="27EB1A75" w14:textId="77777777" w:rsidR="00EB6D94" w:rsidRPr="00C74B4B" w:rsidRDefault="00EB6D94" w:rsidP="00EB6D94">
      <w:pPr>
        <w:tabs>
          <w:tab w:val="left" w:pos="2955"/>
        </w:tabs>
        <w:spacing w:after="0" w:line="240" w:lineRule="auto"/>
        <w:jc w:val="both"/>
        <w:rPr>
          <w:rFonts w:ascii="Arial Black" w:hAnsi="Arial Black" w:cs="Arial"/>
          <w:b/>
          <w:spacing w:val="20"/>
          <w:sz w:val="52"/>
          <w:szCs w:val="52"/>
        </w:rPr>
      </w:pPr>
      <w:r>
        <w:rPr>
          <w:rFonts w:ascii="Arial Black" w:hAnsi="Arial Black" w:cs="Arial"/>
          <w:spacing w:val="20"/>
        </w:rPr>
        <w:tab/>
      </w:r>
    </w:p>
    <w:p w14:paraId="0162BDCB" w14:textId="5139739D" w:rsidR="00EB6D94" w:rsidRDefault="00EB6D94" w:rsidP="00EB6D94">
      <w:pPr>
        <w:spacing w:after="0" w:line="240" w:lineRule="auto"/>
        <w:jc w:val="center"/>
        <w:rPr>
          <w:rFonts w:ascii="Arial" w:hAnsi="Arial" w:cs="Arial"/>
          <w:b/>
          <w:spacing w:val="20"/>
          <w:sz w:val="32"/>
          <w:szCs w:val="32"/>
        </w:rPr>
      </w:pPr>
      <w:r w:rsidRPr="00E248D9">
        <w:rPr>
          <w:rFonts w:ascii="Arial" w:hAnsi="Arial" w:cs="Arial"/>
          <w:b/>
          <w:spacing w:val="20"/>
          <w:sz w:val="32"/>
          <w:szCs w:val="32"/>
        </w:rPr>
        <w:t>PLIEGO DE BASES Y CONDICIONES</w:t>
      </w:r>
    </w:p>
    <w:p w14:paraId="24153690" w14:textId="5CDAF4B3" w:rsidR="00AF116F" w:rsidRDefault="00AF116F" w:rsidP="00EB6D94">
      <w:pPr>
        <w:spacing w:after="0" w:line="240" w:lineRule="auto"/>
        <w:jc w:val="center"/>
        <w:rPr>
          <w:rFonts w:ascii="Arial" w:hAnsi="Arial" w:cs="Arial"/>
          <w:b/>
          <w:spacing w:val="20"/>
          <w:sz w:val="32"/>
          <w:szCs w:val="32"/>
        </w:rPr>
      </w:pPr>
    </w:p>
    <w:p w14:paraId="56EA4E51" w14:textId="75CB6AB7" w:rsidR="00AF116F" w:rsidRDefault="00AF116F" w:rsidP="00EB6D94">
      <w:pPr>
        <w:spacing w:after="0" w:line="240" w:lineRule="auto"/>
        <w:jc w:val="center"/>
        <w:rPr>
          <w:rFonts w:ascii="Arial" w:hAnsi="Arial" w:cs="Arial"/>
          <w:b/>
          <w:spacing w:val="20"/>
          <w:sz w:val="32"/>
          <w:szCs w:val="32"/>
        </w:rPr>
      </w:pPr>
      <w:bookmarkStart w:id="0" w:name="_Hlk224127899"/>
    </w:p>
    <w:p w14:paraId="316B1D00" w14:textId="0ABE52CB" w:rsidR="00FC186A" w:rsidRPr="00FC186A" w:rsidRDefault="00AF116F" w:rsidP="00FC186A">
      <w:pPr>
        <w:spacing w:after="0" w:line="240" w:lineRule="auto"/>
        <w:jc w:val="center"/>
        <w:rPr>
          <w:rFonts w:ascii="Arial" w:eastAsia="Times New Roman" w:hAnsi="Arial" w:cs="Arial"/>
          <w:b/>
          <w:spacing w:val="20"/>
          <w:sz w:val="32"/>
          <w:szCs w:val="32"/>
        </w:rPr>
      </w:pPr>
      <w:bookmarkStart w:id="1" w:name="_Hlk182219484"/>
      <w:r w:rsidRPr="00AF116F">
        <w:rPr>
          <w:rFonts w:ascii="Arial" w:hAnsi="Arial" w:cs="Arial"/>
          <w:b/>
          <w:spacing w:val="20"/>
          <w:sz w:val="32"/>
          <w:szCs w:val="32"/>
        </w:rPr>
        <w:t>“</w:t>
      </w:r>
      <w:bookmarkStart w:id="2" w:name="_Hlk182220082"/>
      <w:bookmarkStart w:id="3" w:name="_Hlk193370062"/>
      <w:r w:rsidR="00FC186A" w:rsidRPr="00FC186A">
        <w:rPr>
          <w:rFonts w:ascii="Arial" w:eastAsia="Times New Roman" w:hAnsi="Arial" w:cs="Arial"/>
          <w:b/>
          <w:spacing w:val="20"/>
          <w:sz w:val="32"/>
          <w:szCs w:val="32"/>
        </w:rPr>
        <w:t>ADQUISICIÓN DE EQUIPO</w:t>
      </w:r>
      <w:bookmarkEnd w:id="2"/>
      <w:bookmarkEnd w:id="3"/>
      <w:r w:rsidR="00FC186A" w:rsidRPr="00FC186A">
        <w:rPr>
          <w:rFonts w:ascii="Arial" w:eastAsia="Times New Roman" w:hAnsi="Arial" w:cs="Arial"/>
          <w:b/>
          <w:spacing w:val="20"/>
          <w:sz w:val="32"/>
          <w:szCs w:val="32"/>
        </w:rPr>
        <w:t>S E INSUMOS VARIOS DE LABORATORIO E INFORMATICA EN LOS PROYECTOS ESTR01-4, PINV01-110, PINV01-776, PINV01-306, PINV01 -91 Y UNESCO/OWSD”</w:t>
      </w:r>
    </w:p>
    <w:p w14:paraId="17C9E0E6" w14:textId="427AE4DE" w:rsidR="00AF116F" w:rsidRPr="00E248D9" w:rsidRDefault="00AF116F" w:rsidP="00FC186A">
      <w:pPr>
        <w:spacing w:after="0" w:line="240" w:lineRule="auto"/>
        <w:rPr>
          <w:rFonts w:ascii="Arial" w:hAnsi="Arial" w:cs="Arial"/>
          <w:b/>
          <w:spacing w:val="20"/>
          <w:sz w:val="32"/>
          <w:szCs w:val="32"/>
        </w:rPr>
      </w:pPr>
    </w:p>
    <w:bookmarkEnd w:id="0"/>
    <w:bookmarkEnd w:id="1"/>
    <w:p w14:paraId="4417CC91" w14:textId="77777777" w:rsidR="00EB6D94" w:rsidRPr="00DD509F" w:rsidRDefault="00EB6D94" w:rsidP="00EB6D94">
      <w:pPr>
        <w:tabs>
          <w:tab w:val="left" w:pos="142"/>
        </w:tabs>
        <w:spacing w:after="0" w:line="360" w:lineRule="auto"/>
        <w:jc w:val="center"/>
        <w:rPr>
          <w:rFonts w:ascii="Arial" w:hAnsi="Arial" w:cs="Arial"/>
          <w:b/>
          <w:sz w:val="32"/>
          <w:szCs w:val="32"/>
        </w:rPr>
      </w:pPr>
    </w:p>
    <w:p w14:paraId="56CDDFC0" w14:textId="0202B2F1" w:rsidR="00EB6D94" w:rsidRPr="00DD509F" w:rsidRDefault="00EB6D94" w:rsidP="00045230">
      <w:pPr>
        <w:tabs>
          <w:tab w:val="left" w:pos="142"/>
          <w:tab w:val="left" w:pos="2980"/>
          <w:tab w:val="center" w:pos="4420"/>
          <w:tab w:val="left" w:pos="6002"/>
        </w:tabs>
        <w:spacing w:after="0" w:line="360" w:lineRule="auto"/>
        <w:rPr>
          <w:rFonts w:ascii="Arial" w:hAnsi="Arial" w:cs="Arial"/>
          <w:b/>
          <w:spacing w:val="60"/>
          <w:sz w:val="52"/>
          <w:szCs w:val="52"/>
          <w:lang w:val="es-MX"/>
        </w:rPr>
      </w:pPr>
      <w:r w:rsidRPr="00DD509F">
        <w:rPr>
          <w:rFonts w:ascii="Arial" w:hAnsi="Arial" w:cs="Arial"/>
          <w:b/>
          <w:sz w:val="52"/>
          <w:szCs w:val="52"/>
        </w:rPr>
        <w:tab/>
      </w:r>
      <w:r w:rsidRPr="00DD509F">
        <w:rPr>
          <w:rFonts w:ascii="Arial" w:hAnsi="Arial" w:cs="Arial"/>
          <w:b/>
          <w:sz w:val="52"/>
          <w:szCs w:val="52"/>
        </w:rPr>
        <w:tab/>
      </w:r>
      <w:r w:rsidRPr="00DD509F">
        <w:rPr>
          <w:rFonts w:ascii="Arial" w:hAnsi="Arial" w:cs="Arial"/>
          <w:b/>
          <w:sz w:val="52"/>
          <w:szCs w:val="52"/>
        </w:rPr>
        <w:tab/>
      </w:r>
      <w:r w:rsidR="00045230">
        <w:rPr>
          <w:rFonts w:ascii="Arial" w:hAnsi="Arial" w:cs="Arial"/>
          <w:b/>
          <w:sz w:val="52"/>
          <w:szCs w:val="52"/>
        </w:rPr>
        <w:tab/>
      </w:r>
    </w:p>
    <w:p w14:paraId="330DA4B0" w14:textId="402591A6" w:rsidR="00EB6D94" w:rsidRDefault="00EB6D94" w:rsidP="002A42DF">
      <w:pPr>
        <w:pBdr>
          <w:top w:val="single" w:sz="4" w:space="1" w:color="auto"/>
          <w:left w:val="single" w:sz="4" w:space="4" w:color="auto"/>
          <w:bottom w:val="single" w:sz="4" w:space="1" w:color="auto"/>
          <w:right w:val="single" w:sz="4" w:space="4" w:color="auto"/>
        </w:pBdr>
        <w:shd w:val="clear" w:color="auto" w:fill="AA3C3C"/>
        <w:spacing w:after="0" w:line="240" w:lineRule="auto"/>
        <w:jc w:val="center"/>
        <w:rPr>
          <w:rFonts w:ascii="Arial" w:eastAsiaTheme="minorEastAsia" w:hAnsi="Arial" w:cs="Arial"/>
          <w:kern w:val="2"/>
          <w:sz w:val="36"/>
          <w:szCs w:val="32"/>
          <w:lang w:eastAsia="es-PY"/>
        </w:rPr>
      </w:pPr>
      <w:r w:rsidRPr="0009709C">
        <w:rPr>
          <w:rFonts w:ascii="Arial" w:eastAsiaTheme="minorEastAsia" w:hAnsi="Arial" w:cs="Arial"/>
          <w:bCs/>
          <w:sz w:val="36"/>
          <w:szCs w:val="32"/>
          <w:lang w:eastAsia="es-PY"/>
        </w:rPr>
        <w:t>“</w:t>
      </w:r>
      <w:r w:rsidRPr="00E00B1D">
        <w:rPr>
          <w:rFonts w:ascii="Arial" w:eastAsiaTheme="minorEastAsia" w:hAnsi="Arial" w:cs="Arial"/>
          <w:b/>
          <w:kern w:val="2"/>
          <w:sz w:val="36"/>
          <w:szCs w:val="32"/>
          <w:lang w:eastAsia="es-PY"/>
        </w:rPr>
        <w:t>A</w:t>
      </w:r>
      <w:r>
        <w:rPr>
          <w:rFonts w:ascii="Arial" w:eastAsiaTheme="minorEastAsia" w:hAnsi="Arial" w:cs="Arial"/>
          <w:b/>
          <w:kern w:val="2"/>
          <w:sz w:val="36"/>
          <w:szCs w:val="32"/>
          <w:lang w:eastAsia="es-PY"/>
        </w:rPr>
        <w:t>DQUISICIÓN</w:t>
      </w:r>
      <w:r w:rsidRPr="00E00B1D">
        <w:rPr>
          <w:rFonts w:ascii="Arial" w:eastAsiaTheme="minorEastAsia" w:hAnsi="Arial" w:cs="Arial"/>
          <w:b/>
          <w:kern w:val="2"/>
          <w:sz w:val="36"/>
          <w:szCs w:val="32"/>
          <w:lang w:eastAsia="es-PY"/>
        </w:rPr>
        <w:t xml:space="preserve"> DE BIENES</w:t>
      </w:r>
      <w:r w:rsidR="00323DEB">
        <w:rPr>
          <w:rFonts w:ascii="Arial" w:eastAsiaTheme="minorEastAsia" w:hAnsi="Arial" w:cs="Arial"/>
          <w:b/>
          <w:kern w:val="2"/>
          <w:sz w:val="36"/>
          <w:szCs w:val="32"/>
          <w:lang w:eastAsia="es-PY"/>
        </w:rPr>
        <w:t xml:space="preserve">, </w:t>
      </w:r>
      <w:r w:rsidRPr="00E00B1D">
        <w:rPr>
          <w:rFonts w:ascii="Arial" w:eastAsiaTheme="minorEastAsia" w:hAnsi="Arial" w:cs="Arial"/>
          <w:b/>
          <w:kern w:val="2"/>
          <w:sz w:val="36"/>
          <w:szCs w:val="32"/>
          <w:lang w:eastAsia="es-PY"/>
        </w:rPr>
        <w:t>INSUMOS</w:t>
      </w:r>
      <w:r w:rsidR="00323DEB">
        <w:rPr>
          <w:rFonts w:ascii="Arial" w:eastAsiaTheme="minorEastAsia" w:hAnsi="Arial" w:cs="Arial"/>
          <w:b/>
          <w:kern w:val="2"/>
          <w:sz w:val="36"/>
          <w:szCs w:val="32"/>
          <w:lang w:eastAsia="es-PY"/>
        </w:rPr>
        <w:t xml:space="preserve"> y EQUIPOS</w:t>
      </w:r>
      <w:r w:rsidRPr="0009709C">
        <w:rPr>
          <w:rFonts w:ascii="Arial" w:eastAsiaTheme="minorEastAsia" w:hAnsi="Arial" w:cs="Arial"/>
          <w:kern w:val="2"/>
          <w:sz w:val="36"/>
          <w:szCs w:val="32"/>
          <w:lang w:eastAsia="es-PY"/>
        </w:rPr>
        <w:t>”</w:t>
      </w:r>
    </w:p>
    <w:p w14:paraId="2D73C8E8" w14:textId="77777777" w:rsidR="00EB6D94" w:rsidRPr="0009709C" w:rsidRDefault="00EB6D94" w:rsidP="00EB6D94">
      <w:pPr>
        <w:spacing w:after="0" w:line="240" w:lineRule="auto"/>
        <w:jc w:val="center"/>
        <w:rPr>
          <w:rFonts w:ascii="Arial" w:eastAsiaTheme="minorEastAsia" w:hAnsi="Arial" w:cs="Arial"/>
          <w:bCs/>
          <w:i/>
          <w:sz w:val="36"/>
          <w:szCs w:val="32"/>
          <w:lang w:eastAsia="es-PY"/>
        </w:rPr>
      </w:pPr>
    </w:p>
    <w:p w14:paraId="4DEF455F" w14:textId="77777777" w:rsidR="00EB6D94" w:rsidRDefault="00EB6D94" w:rsidP="00EB6D94">
      <w:pPr>
        <w:spacing w:after="0" w:line="240" w:lineRule="auto"/>
        <w:jc w:val="center"/>
        <w:rPr>
          <w:rFonts w:ascii="Arial" w:hAnsi="Arial" w:cs="Arial"/>
          <w:bCs/>
          <w:i/>
          <w:sz w:val="36"/>
          <w:szCs w:val="32"/>
        </w:rPr>
      </w:pPr>
    </w:p>
    <w:p w14:paraId="7EFD7D2F" w14:textId="77777777" w:rsidR="00EB6D94" w:rsidRDefault="00EB6D94" w:rsidP="00AF116F">
      <w:pPr>
        <w:spacing w:after="0" w:line="240" w:lineRule="auto"/>
        <w:rPr>
          <w:rFonts w:ascii="Arial" w:hAnsi="Arial" w:cs="Arial"/>
          <w:bCs/>
          <w:i/>
          <w:sz w:val="36"/>
          <w:szCs w:val="32"/>
        </w:rPr>
      </w:pPr>
    </w:p>
    <w:p w14:paraId="5DB87087" w14:textId="15553DC9" w:rsidR="00EB6D94" w:rsidRDefault="00EB6D94" w:rsidP="00EB6D94">
      <w:pPr>
        <w:tabs>
          <w:tab w:val="left" w:pos="142"/>
        </w:tabs>
        <w:spacing w:after="0" w:line="360" w:lineRule="auto"/>
        <w:jc w:val="center"/>
        <w:rPr>
          <w:rFonts w:ascii="Arial" w:hAnsi="Arial" w:cs="Arial"/>
          <w:b/>
          <w:bCs/>
          <w:sz w:val="32"/>
          <w:szCs w:val="32"/>
        </w:rPr>
      </w:pPr>
    </w:p>
    <w:p w14:paraId="023003BE" w14:textId="070C3A96" w:rsidR="00AF116F" w:rsidRDefault="00AF116F" w:rsidP="00EB6D94">
      <w:pPr>
        <w:tabs>
          <w:tab w:val="left" w:pos="142"/>
        </w:tabs>
        <w:spacing w:after="0" w:line="360" w:lineRule="auto"/>
        <w:jc w:val="center"/>
        <w:rPr>
          <w:rFonts w:ascii="Arial" w:hAnsi="Arial" w:cs="Arial"/>
          <w:b/>
          <w:bCs/>
          <w:sz w:val="32"/>
          <w:szCs w:val="32"/>
        </w:rPr>
      </w:pPr>
    </w:p>
    <w:p w14:paraId="7B304690" w14:textId="060FEA62" w:rsidR="00AF116F" w:rsidRDefault="00AF116F" w:rsidP="00EB6D94">
      <w:pPr>
        <w:tabs>
          <w:tab w:val="left" w:pos="142"/>
        </w:tabs>
        <w:spacing w:after="0" w:line="360" w:lineRule="auto"/>
        <w:jc w:val="center"/>
        <w:rPr>
          <w:rFonts w:ascii="Arial" w:hAnsi="Arial" w:cs="Arial"/>
          <w:b/>
          <w:bCs/>
          <w:sz w:val="32"/>
          <w:szCs w:val="32"/>
        </w:rPr>
      </w:pPr>
    </w:p>
    <w:p w14:paraId="2B9F6155" w14:textId="2B85F8E9" w:rsidR="00AF116F" w:rsidRDefault="00AF116F" w:rsidP="00EB6D94">
      <w:pPr>
        <w:tabs>
          <w:tab w:val="left" w:pos="142"/>
        </w:tabs>
        <w:spacing w:after="0" w:line="360" w:lineRule="auto"/>
        <w:jc w:val="center"/>
        <w:rPr>
          <w:rFonts w:ascii="Arial" w:hAnsi="Arial" w:cs="Arial"/>
          <w:b/>
          <w:bCs/>
          <w:sz w:val="32"/>
          <w:szCs w:val="32"/>
        </w:rPr>
      </w:pPr>
    </w:p>
    <w:p w14:paraId="4DAAD703" w14:textId="2E077C29" w:rsidR="00095E70" w:rsidRDefault="00095E70" w:rsidP="00EB6D94">
      <w:pPr>
        <w:tabs>
          <w:tab w:val="left" w:pos="142"/>
        </w:tabs>
        <w:spacing w:after="0" w:line="360" w:lineRule="auto"/>
        <w:jc w:val="center"/>
        <w:rPr>
          <w:rFonts w:ascii="Arial" w:hAnsi="Arial" w:cs="Arial"/>
          <w:b/>
          <w:bCs/>
          <w:sz w:val="32"/>
          <w:szCs w:val="32"/>
        </w:rPr>
      </w:pPr>
    </w:p>
    <w:p w14:paraId="70330436" w14:textId="70358B38" w:rsidR="00095E70" w:rsidRDefault="00095E70" w:rsidP="00EB6D94">
      <w:pPr>
        <w:tabs>
          <w:tab w:val="left" w:pos="142"/>
        </w:tabs>
        <w:spacing w:after="0" w:line="360" w:lineRule="auto"/>
        <w:jc w:val="center"/>
        <w:rPr>
          <w:rFonts w:ascii="Arial" w:hAnsi="Arial" w:cs="Arial"/>
          <w:b/>
          <w:bCs/>
          <w:sz w:val="32"/>
          <w:szCs w:val="32"/>
        </w:rPr>
      </w:pPr>
    </w:p>
    <w:p w14:paraId="512ACA12" w14:textId="77777777" w:rsidR="00095E70" w:rsidRDefault="00095E70" w:rsidP="00EB6D94">
      <w:pPr>
        <w:tabs>
          <w:tab w:val="left" w:pos="142"/>
        </w:tabs>
        <w:spacing w:after="0" w:line="360" w:lineRule="auto"/>
        <w:jc w:val="center"/>
        <w:rPr>
          <w:rFonts w:ascii="Arial" w:hAnsi="Arial" w:cs="Arial"/>
          <w:b/>
          <w:bCs/>
          <w:sz w:val="32"/>
          <w:szCs w:val="32"/>
        </w:rPr>
      </w:pPr>
    </w:p>
    <w:p w14:paraId="07C5FF0C" w14:textId="5C183E59" w:rsidR="00AF116F" w:rsidRDefault="00AF116F" w:rsidP="00EB6D94">
      <w:pPr>
        <w:tabs>
          <w:tab w:val="left" w:pos="142"/>
        </w:tabs>
        <w:spacing w:after="0" w:line="360" w:lineRule="auto"/>
        <w:jc w:val="center"/>
        <w:rPr>
          <w:rFonts w:ascii="Arial" w:hAnsi="Arial" w:cs="Arial"/>
          <w:b/>
          <w:bCs/>
          <w:sz w:val="32"/>
          <w:szCs w:val="32"/>
        </w:rPr>
      </w:pPr>
    </w:p>
    <w:p w14:paraId="291CD019" w14:textId="77777777" w:rsidR="00AF116F" w:rsidRDefault="00AF116F" w:rsidP="00EB6D94">
      <w:pPr>
        <w:tabs>
          <w:tab w:val="left" w:pos="142"/>
        </w:tabs>
        <w:spacing w:after="0" w:line="360" w:lineRule="auto"/>
        <w:jc w:val="center"/>
        <w:rPr>
          <w:rFonts w:ascii="Arial" w:hAnsi="Arial" w:cs="Arial"/>
          <w:b/>
          <w:bCs/>
          <w:sz w:val="32"/>
          <w:szCs w:val="32"/>
        </w:rPr>
      </w:pPr>
    </w:p>
    <w:p w14:paraId="07C1E003" w14:textId="77777777" w:rsidR="00EB6D94" w:rsidRPr="00060500" w:rsidRDefault="00EB6D94" w:rsidP="002A42DF">
      <w:pPr>
        <w:pBdr>
          <w:top w:val="single" w:sz="4" w:space="1" w:color="auto"/>
          <w:left w:val="single" w:sz="4" w:space="4" w:color="auto"/>
          <w:bottom w:val="single" w:sz="4" w:space="1" w:color="auto"/>
          <w:right w:val="single" w:sz="4" w:space="4" w:color="auto"/>
        </w:pBdr>
        <w:shd w:val="clear" w:color="auto" w:fill="AA3C3C"/>
        <w:spacing w:after="0" w:line="240" w:lineRule="auto"/>
        <w:jc w:val="center"/>
        <w:rPr>
          <w:rFonts w:ascii="Arial" w:eastAsiaTheme="minorEastAsia" w:hAnsi="Arial" w:cs="Arial"/>
          <w:b/>
          <w:bCs/>
          <w:sz w:val="32"/>
          <w:szCs w:val="32"/>
          <w:lang w:eastAsia="es-PY"/>
        </w:rPr>
      </w:pPr>
      <w:r w:rsidRPr="00060500">
        <w:rPr>
          <w:rFonts w:ascii="Arial" w:eastAsiaTheme="minorEastAsia" w:hAnsi="Arial" w:cs="Arial"/>
          <w:b/>
          <w:bCs/>
          <w:sz w:val="32"/>
          <w:szCs w:val="32"/>
          <w:lang w:eastAsia="es-PY"/>
        </w:rPr>
        <w:t>CARTA DE INVITACIÓN Y ANEXOS</w:t>
      </w:r>
    </w:p>
    <w:p w14:paraId="33BB74F5" w14:textId="77777777" w:rsidR="00EB6D94" w:rsidRPr="002A1385" w:rsidRDefault="00EB6D94" w:rsidP="00636C3A">
      <w:pPr>
        <w:jc w:val="both"/>
      </w:pPr>
    </w:p>
    <w:p w14:paraId="3982B8BD" w14:textId="77777777" w:rsidR="00EB6D94" w:rsidRPr="002A1385" w:rsidRDefault="00EB6D94" w:rsidP="00636C3A">
      <w:pPr>
        <w:jc w:val="both"/>
        <w:rPr>
          <w:b/>
        </w:rPr>
      </w:pPr>
      <w:r w:rsidRPr="002A1385">
        <w:rPr>
          <w:b/>
        </w:rPr>
        <w:t>Señor</w:t>
      </w:r>
    </w:p>
    <w:p w14:paraId="66F60D6A" w14:textId="77777777" w:rsidR="00EB6D94" w:rsidRPr="008947BC" w:rsidRDefault="00EB6D94" w:rsidP="00636C3A">
      <w:pPr>
        <w:tabs>
          <w:tab w:val="left" w:pos="142"/>
        </w:tabs>
        <w:suppressAutoHyphens/>
        <w:spacing w:after="0" w:line="360" w:lineRule="auto"/>
        <w:jc w:val="both"/>
        <w:rPr>
          <w:rFonts w:ascii="Arial" w:hAnsi="Arial" w:cs="Arial"/>
          <w:i/>
          <w:kern w:val="2"/>
          <w:sz w:val="24"/>
        </w:rPr>
      </w:pPr>
      <w:r>
        <w:rPr>
          <w:rFonts w:ascii="Arial" w:hAnsi="Arial" w:cs="Arial"/>
          <w:i/>
          <w:kern w:val="2"/>
          <w:sz w:val="24"/>
        </w:rPr>
        <w:t>Potencial Oferente</w:t>
      </w:r>
    </w:p>
    <w:sdt>
      <w:sdtPr>
        <w:id w:val="-639417957"/>
        <w:lock w:val="contentLocked"/>
        <w:placeholder>
          <w:docPart w:val="67E529CCECA4462FAD3652F75DED2F08"/>
        </w:placeholder>
        <w:group/>
      </w:sdtPr>
      <w:sdtEndPr/>
      <w:sdtContent>
        <w:p w14:paraId="086D84C9" w14:textId="77777777" w:rsidR="00EB6D94" w:rsidRPr="002A1385" w:rsidRDefault="00EB6D94" w:rsidP="00636C3A">
          <w:r w:rsidRPr="00416F3A">
            <w:rPr>
              <w:b/>
              <w:u w:val="single"/>
            </w:rPr>
            <w:t>Presente</w:t>
          </w:r>
        </w:p>
      </w:sdtContent>
    </w:sdt>
    <w:p w14:paraId="6C8BCE5C" w14:textId="67EDE71B" w:rsidR="00EB6D94" w:rsidRDefault="00EB6D94" w:rsidP="001B2AAF">
      <w:pPr>
        <w:tabs>
          <w:tab w:val="left" w:pos="142"/>
        </w:tabs>
        <w:suppressAutoHyphens/>
        <w:spacing w:after="0" w:line="360" w:lineRule="auto"/>
        <w:jc w:val="both"/>
        <w:rPr>
          <w:rFonts w:ascii="Arial" w:hAnsi="Arial" w:cs="Arial"/>
          <w:kern w:val="2"/>
          <w:sz w:val="24"/>
        </w:rPr>
      </w:pPr>
      <w:r w:rsidRPr="008947BC">
        <w:rPr>
          <w:rFonts w:ascii="Arial" w:hAnsi="Arial" w:cs="Arial"/>
          <w:kern w:val="2"/>
          <w:sz w:val="24"/>
        </w:rPr>
        <w:t xml:space="preserve">Tenemos el agrado de dirigirnos a Ud. con el objeto de invitarlo a participar en el </w:t>
      </w:r>
      <w:bookmarkStart w:id="4" w:name="_Hlk230350604"/>
      <w:r w:rsidR="00AF116F" w:rsidRPr="008947BC">
        <w:rPr>
          <w:rFonts w:ascii="Arial" w:hAnsi="Arial" w:cs="Arial"/>
          <w:kern w:val="2"/>
          <w:sz w:val="24"/>
        </w:rPr>
        <w:t xml:space="preserve">PROCEDIMIENTO </w:t>
      </w:r>
      <w:r w:rsidR="00AF116F" w:rsidRPr="009E2539">
        <w:rPr>
          <w:rFonts w:ascii="Arial" w:hAnsi="Arial" w:cs="Arial"/>
          <w:kern w:val="2"/>
          <w:sz w:val="24"/>
        </w:rPr>
        <w:t xml:space="preserve">DE </w:t>
      </w:r>
      <w:r w:rsidR="00AF116F">
        <w:rPr>
          <w:rFonts w:ascii="Arial" w:hAnsi="Arial" w:cs="Arial"/>
          <w:kern w:val="2"/>
          <w:sz w:val="24"/>
        </w:rPr>
        <w:t>ADQUISICIÓN UGPI N° 00</w:t>
      </w:r>
      <w:r w:rsidR="001B2AAF">
        <w:rPr>
          <w:rFonts w:ascii="Arial" w:hAnsi="Arial" w:cs="Arial"/>
          <w:kern w:val="2"/>
          <w:sz w:val="24"/>
        </w:rPr>
        <w:t>3</w:t>
      </w:r>
      <w:r w:rsidR="00AF116F">
        <w:rPr>
          <w:rFonts w:ascii="Arial" w:hAnsi="Arial" w:cs="Arial"/>
          <w:kern w:val="2"/>
          <w:sz w:val="24"/>
        </w:rPr>
        <w:t>/202</w:t>
      </w:r>
      <w:r w:rsidR="00CF749D">
        <w:rPr>
          <w:rFonts w:ascii="Arial" w:hAnsi="Arial" w:cs="Arial"/>
          <w:kern w:val="2"/>
          <w:sz w:val="24"/>
        </w:rPr>
        <w:t>6</w:t>
      </w:r>
      <w:r w:rsidR="00AF116F">
        <w:rPr>
          <w:rFonts w:ascii="Arial" w:hAnsi="Arial" w:cs="Arial"/>
          <w:kern w:val="2"/>
          <w:sz w:val="24"/>
        </w:rPr>
        <w:t xml:space="preserve"> para la </w:t>
      </w:r>
      <w:bookmarkEnd w:id="4"/>
      <w:r w:rsidR="001B2AAF" w:rsidRPr="001B2AAF">
        <w:rPr>
          <w:rFonts w:ascii="Arial" w:hAnsi="Arial" w:cs="Arial"/>
          <w:kern w:val="2"/>
          <w:sz w:val="24"/>
        </w:rPr>
        <w:t>“</w:t>
      </w:r>
      <w:r w:rsidR="00FC186A" w:rsidRPr="00FC186A">
        <w:rPr>
          <w:rFonts w:ascii="Arial" w:hAnsi="Arial" w:cs="Arial"/>
          <w:kern w:val="2"/>
          <w:sz w:val="24"/>
        </w:rPr>
        <w:t>ADQUISICIÓN DE EQUIPOS E INSUMOS VARIOS DE LABORATORIO E INFORMATICA EN LOS PROYECTOS ESTR01-4, PINV01-110, PINV01-776, PINV01-306, PINV01 -91 Y UNESCO/OWSD”</w:t>
      </w:r>
      <w:r w:rsidR="00FC186A">
        <w:rPr>
          <w:rFonts w:ascii="Arial" w:hAnsi="Arial" w:cs="Arial"/>
          <w:kern w:val="2"/>
          <w:sz w:val="24"/>
        </w:rPr>
        <w:t xml:space="preserve"> </w:t>
      </w:r>
      <w:r w:rsidR="00AF116F">
        <w:rPr>
          <w:rFonts w:ascii="Arial" w:hAnsi="Arial" w:cs="Arial"/>
          <w:kern w:val="2"/>
          <w:sz w:val="24"/>
        </w:rPr>
        <w:t xml:space="preserve">de conformidad a lo establecido en </w:t>
      </w:r>
      <w:r w:rsidR="00AF116F" w:rsidRPr="00AF116F">
        <w:rPr>
          <w:rFonts w:ascii="Arial" w:hAnsi="Arial" w:cs="Arial"/>
          <w:kern w:val="2"/>
          <w:sz w:val="24"/>
        </w:rPr>
        <w:t>LEY Nº 6759/2021 “QUE CREA LAS UNIDADES DE GESTIÓN DE PROYECTOS DE INVESTIGACIÓN EN LAS UNIVERSIDADES E INSTITUTOS SUPERIORES DE GESTIÓN PÚBLICA Y LA RESOLUCIÓN DEL CONSEJO SUPERIOR UNIVERSITARIO DE LA UNIVERSIDAD NACIONAL DE ASUNCIÓN Nº 0219-00-2022 y 0707-00-2023”</w:t>
      </w:r>
    </w:p>
    <w:p w14:paraId="4A789A3B" w14:textId="77777777" w:rsidR="00EB6D94" w:rsidRPr="008947BC" w:rsidRDefault="00EB6D94" w:rsidP="00EC5FF5">
      <w:pPr>
        <w:tabs>
          <w:tab w:val="left" w:pos="142"/>
        </w:tabs>
        <w:suppressAutoHyphens/>
        <w:spacing w:after="0" w:line="360" w:lineRule="auto"/>
        <w:jc w:val="both"/>
        <w:rPr>
          <w:rFonts w:ascii="Arial" w:hAnsi="Arial" w:cs="Arial"/>
          <w:b/>
          <w:kern w:val="2"/>
          <w:sz w:val="24"/>
        </w:rPr>
      </w:pPr>
      <w:r w:rsidRPr="008947BC">
        <w:rPr>
          <w:rFonts w:ascii="Arial" w:hAnsi="Arial" w:cs="Arial"/>
          <w:kern w:val="2"/>
          <w:sz w:val="24"/>
        </w:rPr>
        <w:t>La oferta deberá ajustarse a las condiciones del presente</w:t>
      </w:r>
      <w:r w:rsidR="00EC5FF5">
        <w:rPr>
          <w:rFonts w:ascii="Arial" w:hAnsi="Arial" w:cs="Arial"/>
          <w:kern w:val="2"/>
          <w:sz w:val="24"/>
        </w:rPr>
        <w:t xml:space="preserve"> procedimiento de contratación.</w:t>
      </w:r>
    </w:p>
    <w:p w14:paraId="0FC19830" w14:textId="77777777" w:rsidR="00EB6D94" w:rsidRPr="008947BC" w:rsidRDefault="00EB6D94" w:rsidP="00636C3A">
      <w:pPr>
        <w:tabs>
          <w:tab w:val="left" w:pos="142"/>
        </w:tabs>
        <w:suppressAutoHyphens/>
        <w:spacing w:after="0" w:line="360" w:lineRule="auto"/>
        <w:jc w:val="both"/>
        <w:rPr>
          <w:rFonts w:ascii="Arial" w:hAnsi="Arial" w:cs="Arial"/>
          <w:kern w:val="2"/>
          <w:sz w:val="24"/>
        </w:rPr>
      </w:pPr>
      <w:r w:rsidRPr="008947BC">
        <w:rPr>
          <w:rFonts w:ascii="Arial" w:hAnsi="Arial" w:cs="Arial"/>
          <w:kern w:val="2"/>
          <w:sz w:val="24"/>
        </w:rPr>
        <w:t>Atentamente,</w:t>
      </w:r>
    </w:p>
    <w:p w14:paraId="10F8193F" w14:textId="77777777" w:rsidR="00EB6D94" w:rsidRDefault="00EB6D94" w:rsidP="00636C3A">
      <w:pPr>
        <w:tabs>
          <w:tab w:val="left" w:pos="142"/>
        </w:tabs>
        <w:suppressAutoHyphens/>
        <w:spacing w:after="0" w:line="360" w:lineRule="auto"/>
        <w:jc w:val="both"/>
        <w:rPr>
          <w:rFonts w:asciiTheme="majorHAnsi" w:hAnsiTheme="majorHAnsi" w:cs="Arial"/>
          <w:b/>
          <w:kern w:val="2"/>
          <w:sz w:val="24"/>
        </w:rPr>
      </w:pPr>
    </w:p>
    <w:p w14:paraId="18ED3505" w14:textId="77777777" w:rsidR="00EB6D94" w:rsidRDefault="00EB6D94" w:rsidP="00636C3A">
      <w:pPr>
        <w:tabs>
          <w:tab w:val="left" w:pos="142"/>
        </w:tabs>
        <w:suppressAutoHyphens/>
        <w:spacing w:after="0" w:line="360" w:lineRule="auto"/>
        <w:jc w:val="both"/>
        <w:rPr>
          <w:rFonts w:asciiTheme="majorHAnsi" w:hAnsiTheme="majorHAnsi" w:cs="Arial"/>
          <w:b/>
          <w:kern w:val="2"/>
          <w:sz w:val="24"/>
        </w:rPr>
      </w:pPr>
    </w:p>
    <w:p w14:paraId="5F17BDF5"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2CDF423D"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0BFCD6A9"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7DC3C338"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5A253387" w14:textId="77777777" w:rsidR="00EC5FF5" w:rsidRDefault="00EC5FF5" w:rsidP="00636C3A">
      <w:pPr>
        <w:tabs>
          <w:tab w:val="left" w:pos="142"/>
        </w:tabs>
        <w:suppressAutoHyphens/>
        <w:spacing w:after="0" w:line="360" w:lineRule="auto"/>
        <w:jc w:val="both"/>
        <w:rPr>
          <w:rFonts w:asciiTheme="majorHAnsi" w:hAnsiTheme="majorHAnsi" w:cs="Arial"/>
          <w:b/>
          <w:kern w:val="2"/>
          <w:sz w:val="24"/>
        </w:rPr>
      </w:pPr>
    </w:p>
    <w:p w14:paraId="6036A95E" w14:textId="73C862D5" w:rsidR="00EB6D94" w:rsidRPr="00E948F4" w:rsidRDefault="0027167B" w:rsidP="00636C3A">
      <w:pPr>
        <w:tabs>
          <w:tab w:val="left" w:pos="142"/>
        </w:tabs>
        <w:suppressAutoHyphens/>
        <w:spacing w:after="0" w:line="240" w:lineRule="auto"/>
        <w:rPr>
          <w:rFonts w:ascii="Edwardian Script ITC" w:hAnsi="Edwardian Script ITC" w:cs="Arial"/>
          <w:b/>
          <w:kern w:val="2"/>
          <w:sz w:val="36"/>
          <w:szCs w:val="36"/>
        </w:rPr>
      </w:pPr>
      <w:r>
        <w:rPr>
          <w:rFonts w:ascii="Arial" w:hAnsi="Arial" w:cs="Arial"/>
          <w:kern w:val="2"/>
          <w:sz w:val="24"/>
        </w:rPr>
        <w:t>Dirección de Contrataciones</w:t>
      </w:r>
    </w:p>
    <w:p w14:paraId="2C0C677F" w14:textId="2E3CA152" w:rsidR="00EB6D94" w:rsidRPr="00E948F4" w:rsidRDefault="0027167B" w:rsidP="00636C3A">
      <w:pPr>
        <w:tabs>
          <w:tab w:val="left" w:pos="142"/>
        </w:tabs>
        <w:suppressAutoHyphens/>
        <w:spacing w:after="0" w:line="240" w:lineRule="auto"/>
        <w:rPr>
          <w:rFonts w:ascii="Arial" w:hAnsi="Arial" w:cs="Arial"/>
          <w:kern w:val="2"/>
          <w:sz w:val="24"/>
        </w:rPr>
      </w:pPr>
      <w:r>
        <w:rPr>
          <w:rFonts w:ascii="Arial" w:hAnsi="Arial" w:cs="Arial"/>
          <w:kern w:val="2"/>
          <w:sz w:val="24"/>
        </w:rPr>
        <w:t>Rectorado</w:t>
      </w:r>
      <w:r w:rsidR="00EB6D94" w:rsidRPr="00E948F4">
        <w:rPr>
          <w:rFonts w:ascii="Arial" w:hAnsi="Arial" w:cs="Arial"/>
          <w:kern w:val="2"/>
          <w:sz w:val="24"/>
        </w:rPr>
        <w:t xml:space="preserve"> – UNA</w:t>
      </w:r>
    </w:p>
    <w:p w14:paraId="72EB3FA3" w14:textId="77777777" w:rsidR="00EB6D94" w:rsidRPr="00E948F4" w:rsidRDefault="00EB6D94" w:rsidP="00636C3A">
      <w:pPr>
        <w:tabs>
          <w:tab w:val="left" w:pos="142"/>
        </w:tabs>
        <w:spacing w:after="0" w:line="360" w:lineRule="auto"/>
        <w:jc w:val="center"/>
        <w:rPr>
          <w:rFonts w:ascii="Arial" w:hAnsi="Arial" w:cs="Arial"/>
          <w:kern w:val="2"/>
          <w:sz w:val="24"/>
        </w:rPr>
      </w:pPr>
    </w:p>
    <w:p w14:paraId="45F53B83" w14:textId="77777777" w:rsidR="0032720C" w:rsidRDefault="0032720C"/>
    <w:p w14:paraId="6BF8EE9F" w14:textId="77777777" w:rsidR="00EB6D94" w:rsidRDefault="00EB6D94"/>
    <w:p w14:paraId="47E74864" w14:textId="77777777" w:rsidR="00EB6D94" w:rsidRDefault="00EB6D94"/>
    <w:p w14:paraId="0ED0FD45" w14:textId="77777777" w:rsidR="00370012" w:rsidRDefault="00370012"/>
    <w:p w14:paraId="02910AD9" w14:textId="6BFF6985" w:rsidR="00791CCC" w:rsidRDefault="00791CCC"/>
    <w:p w14:paraId="407FF10D" w14:textId="074F628F" w:rsidR="00095E70" w:rsidRDefault="00095E70"/>
    <w:p w14:paraId="0B84AB78" w14:textId="18530001" w:rsidR="00095E70" w:rsidRDefault="00095E70"/>
    <w:p w14:paraId="40B10802" w14:textId="4A2DC39E" w:rsidR="00EB6D94" w:rsidRDefault="00EB6D94"/>
    <w:p w14:paraId="58B6661B" w14:textId="77777777" w:rsidR="00FC186A" w:rsidRDefault="00FC186A"/>
    <w:p w14:paraId="628D1B60" w14:textId="2FABF4F3" w:rsidR="00EB6D94" w:rsidRPr="00791CCC" w:rsidRDefault="002A42DF" w:rsidP="002A42DF">
      <w:pPr>
        <w:pBdr>
          <w:top w:val="single" w:sz="4" w:space="1" w:color="auto"/>
          <w:left w:val="single" w:sz="4" w:space="4" w:color="auto"/>
          <w:bottom w:val="single" w:sz="4" w:space="1" w:color="auto"/>
          <w:right w:val="single" w:sz="4" w:space="4" w:color="auto"/>
        </w:pBdr>
        <w:shd w:val="clear" w:color="auto" w:fill="AA3C3C"/>
        <w:tabs>
          <w:tab w:val="left" w:pos="984"/>
          <w:tab w:val="center" w:pos="4252"/>
        </w:tabs>
        <w:spacing w:after="0"/>
        <w:rPr>
          <w:rFonts w:asciiTheme="majorHAnsi" w:hAnsiTheme="majorHAnsi" w:cstheme="majorHAnsi"/>
          <w:b/>
          <w:sz w:val="24"/>
          <w:szCs w:val="24"/>
        </w:rPr>
      </w:pPr>
      <w:r>
        <w:rPr>
          <w:rFonts w:asciiTheme="majorHAnsi" w:hAnsiTheme="majorHAnsi" w:cstheme="majorHAnsi"/>
          <w:b/>
          <w:sz w:val="24"/>
          <w:szCs w:val="24"/>
        </w:rPr>
        <w:tab/>
      </w:r>
      <w:r>
        <w:rPr>
          <w:rFonts w:asciiTheme="majorHAnsi" w:hAnsiTheme="majorHAnsi" w:cstheme="majorHAnsi"/>
          <w:b/>
          <w:sz w:val="24"/>
          <w:szCs w:val="24"/>
        </w:rPr>
        <w:tab/>
      </w:r>
      <w:r w:rsidR="00EB6D94" w:rsidRPr="00791CCC">
        <w:rPr>
          <w:rFonts w:asciiTheme="majorHAnsi" w:hAnsiTheme="majorHAnsi" w:cstheme="majorHAnsi"/>
          <w:b/>
          <w:sz w:val="24"/>
          <w:szCs w:val="24"/>
        </w:rPr>
        <w:t>DA</w:t>
      </w:r>
      <w:r w:rsidR="0027167B">
        <w:rPr>
          <w:rFonts w:asciiTheme="majorHAnsi" w:hAnsiTheme="majorHAnsi" w:cstheme="majorHAnsi"/>
          <w:b/>
          <w:sz w:val="24"/>
          <w:szCs w:val="24"/>
        </w:rPr>
        <w:t>T</w:t>
      </w:r>
      <w:r w:rsidR="00EB6D94" w:rsidRPr="00791CCC">
        <w:rPr>
          <w:rFonts w:asciiTheme="majorHAnsi" w:hAnsiTheme="majorHAnsi" w:cstheme="majorHAnsi"/>
          <w:b/>
          <w:sz w:val="24"/>
          <w:szCs w:val="24"/>
        </w:rPr>
        <w:t>OS DE LA CONVOCATORIA</w:t>
      </w:r>
    </w:p>
    <w:p w14:paraId="5A602C3B" w14:textId="49A18409" w:rsidR="00EB6D94" w:rsidRPr="009922DB" w:rsidRDefault="00EB6D94" w:rsidP="002313A3">
      <w:pPr>
        <w:spacing w:after="0" w:line="240" w:lineRule="auto"/>
        <w:ind w:right="-1"/>
        <w:jc w:val="both"/>
        <w:rPr>
          <w:rFonts w:asciiTheme="majorHAnsi" w:hAnsiTheme="majorHAnsi" w:cstheme="majorHAnsi"/>
          <w:b/>
          <w:i/>
          <w:lang w:eastAsia="es-PY"/>
        </w:rPr>
      </w:pPr>
    </w:p>
    <w:p w14:paraId="368DC507" w14:textId="77777777" w:rsidR="00EB6D94" w:rsidRPr="00370012" w:rsidRDefault="00273821" w:rsidP="001F39EF">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lang w:val="es-ES" w:eastAsia="es-ES"/>
        </w:rPr>
      </w:pPr>
      <w:r w:rsidRPr="00370012">
        <w:rPr>
          <w:rFonts w:asciiTheme="majorHAnsi" w:hAnsiTheme="majorHAnsi" w:cstheme="majorHAnsi"/>
          <w:b/>
          <w:color w:val="000000"/>
          <w:lang w:eastAsia="es-PY"/>
        </w:rPr>
        <w:t>DIFUSIÓN DE LOS DOCUMENTOS DE LA CONVOCATORIA</w:t>
      </w:r>
    </w:p>
    <w:p w14:paraId="77CC5F1A" w14:textId="0AEAC329" w:rsidR="00EB6D94" w:rsidRDefault="00EB6D94" w:rsidP="002313A3">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Todos los datos y documentos de este procedimiento de contratación deben ser obtenidos directamente de la página web institucional </w:t>
      </w:r>
      <w:hyperlink r:id="rId8" w:history="1">
        <w:r w:rsidR="002A42DF" w:rsidRPr="002A42DF">
          <w:rPr>
            <w:rStyle w:val="Prrafodelista"/>
            <w:rFonts w:asciiTheme="majorHAnsi" w:eastAsia="Times New Roman" w:hAnsiTheme="majorHAnsi" w:cstheme="majorHAnsi"/>
            <w:b/>
            <w:i/>
            <w:lang w:eastAsia="es-PY"/>
          </w:rPr>
          <w:t>www.una.py</w:t>
        </w:r>
      </w:hyperlink>
      <w:r w:rsidRPr="002A42DF">
        <w:rPr>
          <w:rFonts w:asciiTheme="majorHAnsi" w:eastAsia="Times New Roman" w:hAnsiTheme="majorHAnsi" w:cstheme="majorHAnsi"/>
          <w:color w:val="000000"/>
          <w:lang w:eastAsia="es-PY"/>
        </w:rPr>
        <w:t xml:space="preserve">, sección </w:t>
      </w:r>
      <w:hyperlink r:id="rId9" w:history="1">
        <w:r w:rsidR="002A42DF" w:rsidRPr="002A42DF">
          <w:rPr>
            <w:rStyle w:val="Prrafodelista"/>
            <w:rFonts w:asciiTheme="majorHAnsi" w:eastAsia="Times New Roman" w:hAnsiTheme="majorHAnsi" w:cstheme="majorHAnsi"/>
            <w:lang w:eastAsia="es-PY"/>
          </w:rPr>
          <w:t>Portal de Adquisiciones de bienes e insumos.</w:t>
        </w:r>
      </w:hyperlink>
      <w:r w:rsidR="002A42DF">
        <w:rPr>
          <w:rFonts w:asciiTheme="majorHAnsi" w:eastAsia="Times New Roman" w:hAnsiTheme="majorHAnsi" w:cstheme="majorHAnsi"/>
          <w:color w:val="000000"/>
          <w:lang w:eastAsia="es-PY"/>
        </w:rPr>
        <w:t xml:space="preserve"> </w:t>
      </w:r>
      <w:r w:rsidRPr="00370012">
        <w:rPr>
          <w:rFonts w:asciiTheme="majorHAnsi" w:eastAsia="Times New Roman" w:hAnsiTheme="majorHAnsi" w:cstheme="majorHAnsi"/>
          <w:color w:val="000000"/>
          <w:lang w:eastAsia="es-PY"/>
        </w:rPr>
        <w:t>Es responsabilidad del oferente examinar todos los documentos y la información de la convocatoria que obren en el mismo.</w:t>
      </w:r>
    </w:p>
    <w:p w14:paraId="7669662C" w14:textId="77777777" w:rsidR="00EB6D94" w:rsidRPr="00370012" w:rsidRDefault="00273821" w:rsidP="001F39EF">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b/>
          <w:color w:val="000000"/>
          <w:lang w:eastAsia="es-PY"/>
        </w:rPr>
      </w:pPr>
      <w:r w:rsidRPr="00370012">
        <w:rPr>
          <w:rFonts w:asciiTheme="majorHAnsi" w:hAnsiTheme="majorHAnsi" w:cstheme="majorHAnsi"/>
          <w:b/>
          <w:color w:val="000000"/>
          <w:lang w:eastAsia="es-PY"/>
        </w:rPr>
        <w:t>ACLARACIÓN DE LOS DOCUMENTOS DE LA CONVOCATORIA</w:t>
      </w:r>
      <w:r w:rsidRPr="00370012">
        <w:rPr>
          <w:rFonts w:asciiTheme="majorHAnsi" w:hAnsiTheme="majorHAnsi" w:cstheme="majorHAnsi"/>
          <w:b/>
          <w:color w:val="000000"/>
          <w:lang w:eastAsia="es-PY"/>
        </w:rPr>
        <w:tab/>
      </w:r>
      <w:r w:rsidRPr="00370012">
        <w:rPr>
          <w:rFonts w:asciiTheme="majorHAnsi" w:hAnsiTheme="majorHAnsi" w:cstheme="majorHAnsi"/>
          <w:b/>
          <w:color w:val="000000"/>
          <w:lang w:eastAsia="es-PY"/>
        </w:rPr>
        <w:tab/>
      </w:r>
    </w:p>
    <w:p w14:paraId="44819E65" w14:textId="0C8A8187" w:rsidR="00E0091B" w:rsidRPr="00370012" w:rsidRDefault="00EB6D94" w:rsidP="0038697D">
      <w:pPr>
        <w:pStyle w:val="PrrafodelistaCar"/>
        <w:spacing w:after="150"/>
        <w:jc w:val="both"/>
        <w:rPr>
          <w:rFonts w:asciiTheme="majorHAnsi" w:hAnsiTheme="majorHAnsi" w:cstheme="majorHAnsi"/>
          <w:lang w:eastAsia="es-PY"/>
        </w:rPr>
      </w:pPr>
      <w:r w:rsidRPr="00370012">
        <w:rPr>
          <w:rFonts w:asciiTheme="majorHAnsi" w:hAnsiTheme="majorHAnsi" w:cstheme="majorHAnsi"/>
          <w:lang w:eastAsia="es-PY"/>
        </w:rPr>
        <w:t xml:space="preserve">Todo potencial oferente que necesite alguna aclaración de la convocatoria o del pliego de bases y condiciones, podrá solicitarla a la convocante a través del </w:t>
      </w:r>
      <w:r w:rsidRPr="00D81568">
        <w:rPr>
          <w:rFonts w:asciiTheme="majorHAnsi" w:hAnsiTheme="majorHAnsi" w:cstheme="majorHAnsi"/>
          <w:b/>
          <w:i/>
          <w:u w:val="single"/>
          <w:lang w:eastAsia="es-PY"/>
        </w:rPr>
        <w:t>correo institucional</w:t>
      </w:r>
      <w:r w:rsidR="0027167B">
        <w:rPr>
          <w:rFonts w:asciiTheme="majorHAnsi" w:hAnsiTheme="majorHAnsi" w:cstheme="majorHAnsi"/>
          <w:i/>
          <w:lang w:eastAsia="es-PY"/>
        </w:rPr>
        <w:t xml:space="preserve">: </w:t>
      </w:r>
      <w:hyperlink r:id="rId10" w:history="1">
        <w:r w:rsidR="002A42DF" w:rsidRPr="003432F6">
          <w:rPr>
            <w:rStyle w:val="Prrafodelista"/>
            <w:rFonts w:asciiTheme="majorHAnsi" w:hAnsiTheme="majorHAnsi" w:cstheme="majorHAnsi"/>
            <w:i/>
            <w:lang w:eastAsia="es-PY"/>
          </w:rPr>
          <w:t>contrataciones@rec.una.py</w:t>
        </w:r>
      </w:hyperlink>
      <w:r w:rsidR="0027167B">
        <w:rPr>
          <w:rFonts w:asciiTheme="majorHAnsi" w:hAnsiTheme="majorHAnsi" w:cstheme="majorHAnsi"/>
          <w:i/>
          <w:lang w:eastAsia="es-PY"/>
        </w:rPr>
        <w:t xml:space="preserve"> </w:t>
      </w:r>
      <w:r w:rsidRPr="00370012">
        <w:rPr>
          <w:rFonts w:asciiTheme="majorHAnsi" w:hAnsiTheme="majorHAnsi" w:cstheme="majorHAnsi"/>
          <w:lang w:eastAsia="es-PY"/>
        </w:rPr>
        <w:t xml:space="preserve"> dentro del plazo establecido. Las consultas recibidas deberán ser respondidas por la convocante y publicadas directamente en la página web institucional habilitada para las </w:t>
      </w:r>
      <w:r w:rsidR="0027167B">
        <w:rPr>
          <w:rFonts w:asciiTheme="majorHAnsi" w:hAnsiTheme="majorHAnsi" w:cstheme="majorHAnsi"/>
          <w:lang w:eastAsia="es-PY"/>
        </w:rPr>
        <w:t>adquisiciones</w:t>
      </w:r>
      <w:r w:rsidRPr="00370012">
        <w:rPr>
          <w:rFonts w:asciiTheme="majorHAnsi" w:hAnsiTheme="majorHAnsi" w:cstheme="majorHAnsi"/>
          <w:lang w:eastAsia="es-PY"/>
        </w:rPr>
        <w:t xml:space="preserve"> a través de la UGPI.</w:t>
      </w:r>
      <w:r w:rsidR="0038697D">
        <w:rPr>
          <w:rFonts w:asciiTheme="majorHAnsi" w:hAnsiTheme="majorHAnsi" w:cstheme="majorHAnsi"/>
          <w:lang w:eastAsia="es-PY"/>
        </w:rPr>
        <w:t xml:space="preserve"> </w:t>
      </w:r>
      <w:r w:rsidRPr="00370012">
        <w:rPr>
          <w:rFonts w:asciiTheme="majorHAnsi" w:hAnsiTheme="majorHAnsi" w:cstheme="majorHAnsi"/>
          <w:lang w:eastAsia="es-PY"/>
        </w:rPr>
        <w:t>Se prorrogará el plazo tope para la realización de consultas cuando la fecha del acto de presentación de ofertas sea modificada.</w:t>
      </w:r>
      <w:r w:rsidR="0038697D">
        <w:rPr>
          <w:rFonts w:asciiTheme="majorHAnsi" w:hAnsiTheme="majorHAnsi" w:cstheme="majorHAnsi"/>
          <w:lang w:eastAsia="es-PY"/>
        </w:rPr>
        <w:t xml:space="preserve"> </w:t>
      </w:r>
      <w:r w:rsidR="00E0091B" w:rsidRPr="00370012">
        <w:rPr>
          <w:rFonts w:asciiTheme="majorHAnsi" w:hAnsiTheme="majorHAnsi" w:cstheme="majorHAnsi"/>
          <w:lang w:eastAsia="es-PY"/>
        </w:rPr>
        <w:t>Las aclaraciones realizadas durante los procedimientos de contratación no serán consideradas modificaciones a las bases de la contratación.</w:t>
      </w:r>
    </w:p>
    <w:p w14:paraId="3BA65EA2" w14:textId="77777777" w:rsidR="00E0091B" w:rsidRPr="00370012" w:rsidRDefault="007F0A7D" w:rsidP="001F39EF">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b/>
          <w:color w:val="000000"/>
          <w:lang w:eastAsia="es-PY"/>
        </w:rPr>
      </w:pPr>
      <w:r w:rsidRPr="00370012">
        <w:rPr>
          <w:rFonts w:asciiTheme="majorHAnsi" w:hAnsiTheme="majorHAnsi" w:cstheme="majorHAnsi"/>
          <w:b/>
          <w:color w:val="000000"/>
          <w:lang w:eastAsia="es-PY"/>
        </w:rPr>
        <w:t>FORMATO Y FIRMA DE LA OFERTA</w:t>
      </w:r>
    </w:p>
    <w:p w14:paraId="788953CD" w14:textId="77777777" w:rsidR="00E0091B" w:rsidRPr="00370012" w:rsidRDefault="00E0091B" w:rsidP="00AD7D39">
      <w:pPr>
        <w:pStyle w:val="PrrafodelistaCar"/>
        <w:spacing w:after="0"/>
        <w:ind w:left="284" w:hanging="284"/>
        <w:jc w:val="both"/>
        <w:rPr>
          <w:rFonts w:asciiTheme="majorHAnsi" w:hAnsiTheme="majorHAnsi" w:cstheme="majorHAnsi"/>
          <w:lang w:eastAsia="es-PY"/>
        </w:rPr>
      </w:pPr>
      <w:r w:rsidRPr="00370012">
        <w:rPr>
          <w:rFonts w:asciiTheme="majorHAnsi" w:hAnsiTheme="majorHAnsi" w:cstheme="majorHAnsi"/>
          <w:color w:val="444444"/>
          <w:lang w:eastAsia="es-PY"/>
        </w:rPr>
        <w:t xml:space="preserve">1. </w:t>
      </w:r>
      <w:r w:rsidRPr="00370012">
        <w:rPr>
          <w:rFonts w:asciiTheme="majorHAnsi" w:hAnsiTheme="majorHAnsi" w:cstheme="majorHAnsi"/>
          <w:lang w:eastAsia="es-PY"/>
        </w:rPr>
        <w:t xml:space="preserve">El formulario de oferta y la lista de precios serán </w:t>
      </w:r>
      <w:r w:rsidRPr="002313A3">
        <w:rPr>
          <w:rFonts w:asciiTheme="majorHAnsi" w:hAnsiTheme="majorHAnsi" w:cstheme="majorHAnsi"/>
          <w:b/>
          <w:i/>
          <w:u w:val="single"/>
          <w:lang w:eastAsia="es-PY"/>
        </w:rPr>
        <w:t>firmados física o electrónicamente</w:t>
      </w:r>
      <w:r w:rsidRPr="00370012">
        <w:rPr>
          <w:rFonts w:asciiTheme="majorHAnsi" w:hAnsiTheme="majorHAnsi" w:cstheme="majorHAnsi"/>
          <w:lang w:eastAsia="es-PY"/>
        </w:rPr>
        <w:t>, según corresponda por el oferente o por las personas debidamente facultadas para firmar en nombre del oferente.</w:t>
      </w:r>
    </w:p>
    <w:p w14:paraId="4760CF57" w14:textId="77777777" w:rsidR="00BD22FD" w:rsidRPr="00370012" w:rsidRDefault="00D81568" w:rsidP="001F39EF">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b/>
          <w:color w:val="000000"/>
          <w:lang w:eastAsia="es-PY"/>
        </w:rPr>
      </w:pPr>
      <w:r w:rsidRPr="00370012">
        <w:rPr>
          <w:rFonts w:asciiTheme="majorHAnsi" w:hAnsiTheme="majorHAnsi" w:cstheme="majorHAnsi"/>
          <w:b/>
          <w:color w:val="000000"/>
          <w:lang w:eastAsia="es-PY"/>
        </w:rPr>
        <w:t>PLAZO PARA PRESENTAR LAS OFERTAS</w:t>
      </w:r>
      <w:r w:rsidRPr="00370012">
        <w:rPr>
          <w:rFonts w:asciiTheme="majorHAnsi" w:hAnsiTheme="majorHAnsi" w:cstheme="majorHAnsi"/>
          <w:b/>
          <w:color w:val="000000"/>
          <w:lang w:eastAsia="es-PY"/>
        </w:rPr>
        <w:tab/>
      </w:r>
      <w:r w:rsidRPr="00370012">
        <w:rPr>
          <w:rFonts w:asciiTheme="majorHAnsi" w:hAnsiTheme="majorHAnsi" w:cstheme="majorHAnsi"/>
          <w:b/>
          <w:color w:val="000000"/>
          <w:lang w:eastAsia="es-PY"/>
        </w:rPr>
        <w:tab/>
      </w:r>
      <w:r w:rsidRPr="00370012">
        <w:rPr>
          <w:rFonts w:asciiTheme="majorHAnsi" w:hAnsiTheme="majorHAnsi" w:cstheme="majorHAnsi"/>
          <w:b/>
          <w:color w:val="000000"/>
          <w:lang w:eastAsia="es-PY"/>
        </w:rPr>
        <w:tab/>
      </w:r>
      <w:r w:rsidRPr="00370012">
        <w:rPr>
          <w:rFonts w:asciiTheme="majorHAnsi" w:hAnsiTheme="majorHAnsi" w:cstheme="majorHAnsi"/>
          <w:b/>
          <w:color w:val="000000"/>
          <w:lang w:eastAsia="es-PY"/>
        </w:rPr>
        <w:tab/>
      </w:r>
    </w:p>
    <w:p w14:paraId="67FF1DC9" w14:textId="77777777" w:rsidR="00BD22FD" w:rsidRPr="00370012" w:rsidRDefault="00BD22FD" w:rsidP="00E850FE">
      <w:pPr>
        <w:pStyle w:val="PrrafodelistaCar"/>
        <w:spacing w:after="0"/>
        <w:jc w:val="both"/>
        <w:rPr>
          <w:rFonts w:asciiTheme="majorHAnsi" w:hAnsiTheme="majorHAnsi" w:cstheme="majorHAnsi"/>
          <w:lang w:eastAsia="es-PY"/>
        </w:rPr>
      </w:pPr>
      <w:r w:rsidRPr="00370012">
        <w:rPr>
          <w:rFonts w:asciiTheme="majorHAnsi" w:hAnsiTheme="majorHAnsi" w:cstheme="majorHAnsi"/>
          <w:lang w:eastAsia="es-PY"/>
        </w:rPr>
        <w:t>Las ofertas deberán ser recibidas por la convocante en la fecha y hora que se indican en este PBC</w:t>
      </w:r>
      <w:r w:rsidR="00BC11D6" w:rsidRPr="00370012">
        <w:rPr>
          <w:rFonts w:asciiTheme="majorHAnsi" w:hAnsiTheme="majorHAnsi" w:cstheme="majorHAnsi"/>
          <w:lang w:eastAsia="es-PY"/>
        </w:rPr>
        <w:t>.</w:t>
      </w:r>
      <w:r w:rsidR="00E45553" w:rsidRPr="00370012">
        <w:rPr>
          <w:rFonts w:asciiTheme="majorHAnsi" w:hAnsiTheme="majorHAnsi" w:cstheme="majorHAnsi"/>
          <w:lang w:eastAsia="es-PY"/>
        </w:rPr>
        <w:t xml:space="preserve"> </w:t>
      </w:r>
      <w:r w:rsidRPr="00370012">
        <w:rPr>
          <w:rFonts w:asciiTheme="majorHAnsi" w:hAnsiTheme="majorHAnsi" w:cstheme="majorHAnsi"/>
          <w:lang w:eastAsia="es-PY"/>
        </w:rPr>
        <w:t>La convocante podrá, extender el plazo originalmente establecido para la presentación de ofertas mediante la prórroga de fecha tope o la postergación de la apertura de ofertas.</w:t>
      </w:r>
      <w:r w:rsidR="00E45553" w:rsidRPr="00370012">
        <w:rPr>
          <w:rFonts w:asciiTheme="majorHAnsi" w:hAnsiTheme="majorHAnsi" w:cstheme="majorHAnsi"/>
          <w:lang w:eastAsia="es-PY"/>
        </w:rPr>
        <w:t xml:space="preserve"> </w:t>
      </w:r>
      <w:r w:rsidRPr="00370012">
        <w:rPr>
          <w:rFonts w:asciiTheme="majorHAnsi" w:hAnsiTheme="majorHAnsi" w:cstheme="majorHAnsi"/>
          <w:lang w:eastAsia="es-PY"/>
        </w:rPr>
        <w:t>En este caso todos los derechos y obligaciones de la convocante y de los oferentes previamente sujetos a la fecha límite original para presentar las ofertas, quedarán sujetos a la nueva fecha prorrogada.</w:t>
      </w:r>
    </w:p>
    <w:p w14:paraId="4126986A" w14:textId="736FA890" w:rsidR="006C62AE" w:rsidRPr="002F46C5" w:rsidRDefault="006C62AE" w:rsidP="00EA240D">
      <w:pPr>
        <w:pStyle w:val="PrrafodelistaCar"/>
        <w:spacing w:after="0"/>
        <w:jc w:val="both"/>
        <w:rPr>
          <w:rFonts w:asciiTheme="majorHAnsi" w:hAnsiTheme="majorHAnsi" w:cstheme="majorHAnsi"/>
          <w:b/>
          <w:i/>
          <w:highlight w:val="yellow"/>
          <w:lang w:eastAsia="es-PY"/>
        </w:rPr>
      </w:pPr>
      <w:r w:rsidRPr="002F46C5">
        <w:rPr>
          <w:rFonts w:asciiTheme="majorHAnsi" w:hAnsiTheme="majorHAnsi" w:cstheme="majorHAnsi"/>
          <w:b/>
          <w:i/>
          <w:highlight w:val="yellow"/>
          <w:lang w:eastAsia="es-PY"/>
        </w:rPr>
        <w:t xml:space="preserve">Fecha y hora de Entrega de Oferta: </w:t>
      </w:r>
      <w:r w:rsidR="001B2AAF">
        <w:rPr>
          <w:rFonts w:asciiTheme="majorHAnsi" w:hAnsiTheme="majorHAnsi" w:cstheme="majorHAnsi"/>
          <w:b/>
          <w:i/>
          <w:highlight w:val="yellow"/>
          <w:lang w:eastAsia="es-PY"/>
        </w:rPr>
        <w:t>0</w:t>
      </w:r>
      <w:r w:rsidR="000876B8">
        <w:rPr>
          <w:rFonts w:asciiTheme="majorHAnsi" w:hAnsiTheme="majorHAnsi" w:cstheme="majorHAnsi"/>
          <w:b/>
          <w:i/>
          <w:highlight w:val="yellow"/>
          <w:lang w:eastAsia="es-PY"/>
        </w:rPr>
        <w:t>7</w:t>
      </w:r>
      <w:r w:rsidRPr="002F46C5">
        <w:rPr>
          <w:rFonts w:asciiTheme="majorHAnsi" w:hAnsiTheme="majorHAnsi" w:cstheme="majorHAnsi"/>
          <w:b/>
          <w:i/>
          <w:highlight w:val="yellow"/>
          <w:lang w:eastAsia="es-PY"/>
        </w:rPr>
        <w:t>/</w:t>
      </w:r>
      <w:r w:rsidR="00CF749D">
        <w:rPr>
          <w:rFonts w:asciiTheme="majorHAnsi" w:hAnsiTheme="majorHAnsi" w:cstheme="majorHAnsi"/>
          <w:b/>
          <w:i/>
          <w:highlight w:val="yellow"/>
          <w:lang w:eastAsia="es-PY"/>
        </w:rPr>
        <w:t>0</w:t>
      </w:r>
      <w:r w:rsidR="00FC186A">
        <w:rPr>
          <w:rFonts w:asciiTheme="majorHAnsi" w:hAnsiTheme="majorHAnsi" w:cstheme="majorHAnsi"/>
          <w:b/>
          <w:i/>
          <w:highlight w:val="yellow"/>
          <w:lang w:eastAsia="es-PY"/>
        </w:rPr>
        <w:t>7</w:t>
      </w:r>
      <w:r w:rsidRPr="002F46C5">
        <w:rPr>
          <w:rFonts w:asciiTheme="majorHAnsi" w:hAnsiTheme="majorHAnsi" w:cstheme="majorHAnsi"/>
          <w:b/>
          <w:i/>
          <w:highlight w:val="yellow"/>
          <w:lang w:eastAsia="es-PY"/>
        </w:rPr>
        <w:t>/202</w:t>
      </w:r>
      <w:r w:rsidR="00CF749D">
        <w:rPr>
          <w:rFonts w:asciiTheme="majorHAnsi" w:hAnsiTheme="majorHAnsi" w:cstheme="majorHAnsi"/>
          <w:b/>
          <w:i/>
          <w:highlight w:val="yellow"/>
          <w:lang w:eastAsia="es-PY"/>
        </w:rPr>
        <w:t>6</w:t>
      </w:r>
      <w:r w:rsidRPr="002F46C5">
        <w:rPr>
          <w:rFonts w:asciiTheme="majorHAnsi" w:hAnsiTheme="majorHAnsi" w:cstheme="majorHAnsi"/>
          <w:b/>
          <w:i/>
          <w:highlight w:val="yellow"/>
          <w:lang w:eastAsia="es-PY"/>
        </w:rPr>
        <w:t xml:space="preserve">; </w:t>
      </w:r>
      <w:r w:rsidR="002A42DF">
        <w:rPr>
          <w:rFonts w:asciiTheme="majorHAnsi" w:hAnsiTheme="majorHAnsi" w:cstheme="majorHAnsi"/>
          <w:b/>
          <w:i/>
          <w:highlight w:val="yellow"/>
          <w:lang w:eastAsia="es-PY"/>
        </w:rPr>
        <w:t>11</w:t>
      </w:r>
      <w:r w:rsidRPr="002F46C5">
        <w:rPr>
          <w:rFonts w:asciiTheme="majorHAnsi" w:hAnsiTheme="majorHAnsi" w:cstheme="majorHAnsi"/>
          <w:b/>
          <w:i/>
          <w:highlight w:val="yellow"/>
          <w:lang w:eastAsia="es-PY"/>
        </w:rPr>
        <w:t>:00 horas</w:t>
      </w:r>
    </w:p>
    <w:p w14:paraId="00B1DFAC" w14:textId="0310748F" w:rsidR="00BC11D6" w:rsidRPr="002F46C5" w:rsidRDefault="00BC11D6" w:rsidP="00EA240D">
      <w:pPr>
        <w:pStyle w:val="PrrafodelistaCar"/>
        <w:spacing w:after="0"/>
        <w:jc w:val="both"/>
        <w:rPr>
          <w:rFonts w:asciiTheme="majorHAnsi" w:hAnsiTheme="majorHAnsi" w:cstheme="majorHAnsi"/>
          <w:b/>
          <w:i/>
          <w:highlight w:val="yellow"/>
          <w:lang w:eastAsia="es-PY"/>
        </w:rPr>
      </w:pPr>
      <w:r w:rsidRPr="002F46C5">
        <w:rPr>
          <w:rFonts w:asciiTheme="majorHAnsi" w:hAnsiTheme="majorHAnsi" w:cstheme="majorHAnsi"/>
          <w:b/>
          <w:i/>
          <w:highlight w:val="yellow"/>
          <w:lang w:eastAsia="es-PY"/>
        </w:rPr>
        <w:t>Fecha y hora de Apertura:</w:t>
      </w:r>
      <w:r w:rsidR="0049065B" w:rsidRPr="002F46C5">
        <w:rPr>
          <w:rFonts w:asciiTheme="majorHAnsi" w:hAnsiTheme="majorHAnsi" w:cstheme="majorHAnsi"/>
          <w:b/>
          <w:i/>
          <w:highlight w:val="yellow"/>
          <w:lang w:eastAsia="es-PY"/>
        </w:rPr>
        <w:t xml:space="preserve"> </w:t>
      </w:r>
      <w:r w:rsidR="001B2AAF">
        <w:rPr>
          <w:rFonts w:asciiTheme="majorHAnsi" w:hAnsiTheme="majorHAnsi" w:cstheme="majorHAnsi"/>
          <w:b/>
          <w:i/>
          <w:highlight w:val="yellow"/>
          <w:lang w:eastAsia="es-PY"/>
        </w:rPr>
        <w:t>0</w:t>
      </w:r>
      <w:r w:rsidR="000876B8">
        <w:rPr>
          <w:rFonts w:asciiTheme="majorHAnsi" w:hAnsiTheme="majorHAnsi" w:cstheme="majorHAnsi"/>
          <w:b/>
          <w:i/>
          <w:highlight w:val="yellow"/>
          <w:lang w:eastAsia="es-PY"/>
        </w:rPr>
        <w:t>7</w:t>
      </w:r>
      <w:r w:rsidR="00F143E0">
        <w:rPr>
          <w:rFonts w:asciiTheme="majorHAnsi" w:hAnsiTheme="majorHAnsi" w:cstheme="majorHAnsi"/>
          <w:b/>
          <w:i/>
          <w:highlight w:val="yellow"/>
          <w:lang w:eastAsia="es-PY"/>
        </w:rPr>
        <w:t>/</w:t>
      </w:r>
      <w:r w:rsidR="001B2AAF">
        <w:rPr>
          <w:rFonts w:asciiTheme="majorHAnsi" w:hAnsiTheme="majorHAnsi" w:cstheme="majorHAnsi"/>
          <w:b/>
          <w:i/>
          <w:highlight w:val="yellow"/>
          <w:lang w:eastAsia="es-PY"/>
        </w:rPr>
        <w:t>0</w:t>
      </w:r>
      <w:r w:rsidR="00FC186A">
        <w:rPr>
          <w:rFonts w:asciiTheme="majorHAnsi" w:hAnsiTheme="majorHAnsi" w:cstheme="majorHAnsi"/>
          <w:b/>
          <w:i/>
          <w:highlight w:val="yellow"/>
          <w:lang w:eastAsia="es-PY"/>
        </w:rPr>
        <w:t>7</w:t>
      </w:r>
      <w:r w:rsidR="006C62AE" w:rsidRPr="002F46C5">
        <w:rPr>
          <w:rFonts w:asciiTheme="majorHAnsi" w:hAnsiTheme="majorHAnsi" w:cstheme="majorHAnsi"/>
          <w:b/>
          <w:i/>
          <w:highlight w:val="yellow"/>
          <w:lang w:eastAsia="es-PY"/>
        </w:rPr>
        <w:t>/202</w:t>
      </w:r>
      <w:r w:rsidR="00CF749D">
        <w:rPr>
          <w:rFonts w:asciiTheme="majorHAnsi" w:hAnsiTheme="majorHAnsi" w:cstheme="majorHAnsi"/>
          <w:b/>
          <w:i/>
          <w:highlight w:val="yellow"/>
          <w:lang w:eastAsia="es-PY"/>
        </w:rPr>
        <w:t>6</w:t>
      </w:r>
      <w:r w:rsidR="006C62AE" w:rsidRPr="002F46C5">
        <w:rPr>
          <w:rFonts w:asciiTheme="majorHAnsi" w:hAnsiTheme="majorHAnsi" w:cstheme="majorHAnsi"/>
          <w:b/>
          <w:i/>
          <w:highlight w:val="yellow"/>
          <w:lang w:eastAsia="es-PY"/>
        </w:rPr>
        <w:t xml:space="preserve">; </w:t>
      </w:r>
      <w:r w:rsidR="002A42DF">
        <w:rPr>
          <w:rFonts w:asciiTheme="majorHAnsi" w:hAnsiTheme="majorHAnsi" w:cstheme="majorHAnsi"/>
          <w:b/>
          <w:i/>
          <w:highlight w:val="yellow"/>
          <w:lang w:eastAsia="es-PY"/>
        </w:rPr>
        <w:t>11</w:t>
      </w:r>
      <w:r w:rsidR="006C62AE" w:rsidRPr="002F46C5">
        <w:rPr>
          <w:rFonts w:asciiTheme="majorHAnsi" w:hAnsiTheme="majorHAnsi" w:cstheme="majorHAnsi"/>
          <w:b/>
          <w:i/>
          <w:highlight w:val="yellow"/>
          <w:lang w:eastAsia="es-PY"/>
        </w:rPr>
        <w:t>:</w:t>
      </w:r>
      <w:r w:rsidR="002A42DF">
        <w:rPr>
          <w:rFonts w:asciiTheme="majorHAnsi" w:hAnsiTheme="majorHAnsi" w:cstheme="majorHAnsi"/>
          <w:b/>
          <w:i/>
          <w:highlight w:val="yellow"/>
          <w:lang w:eastAsia="es-PY"/>
        </w:rPr>
        <w:t>30</w:t>
      </w:r>
      <w:r w:rsidR="006C62AE" w:rsidRPr="002F46C5">
        <w:rPr>
          <w:rFonts w:asciiTheme="majorHAnsi" w:hAnsiTheme="majorHAnsi" w:cstheme="majorHAnsi"/>
          <w:b/>
          <w:i/>
          <w:highlight w:val="yellow"/>
          <w:lang w:eastAsia="es-PY"/>
        </w:rPr>
        <w:t xml:space="preserve"> horas</w:t>
      </w:r>
    </w:p>
    <w:p w14:paraId="42DE6FB3" w14:textId="21EC8D48" w:rsidR="00BD22FD" w:rsidRDefault="00BC11D6" w:rsidP="00EA240D">
      <w:pPr>
        <w:tabs>
          <w:tab w:val="left" w:pos="3014"/>
        </w:tabs>
        <w:spacing w:after="0"/>
        <w:jc w:val="both"/>
        <w:rPr>
          <w:rFonts w:asciiTheme="majorHAnsi" w:eastAsia="Times New Roman" w:hAnsiTheme="majorHAnsi" w:cstheme="majorHAnsi"/>
          <w:b/>
          <w:i/>
          <w:lang w:eastAsia="es-PY"/>
        </w:rPr>
      </w:pPr>
      <w:r w:rsidRPr="002F46C5">
        <w:rPr>
          <w:rFonts w:asciiTheme="majorHAnsi" w:eastAsia="Times New Roman" w:hAnsiTheme="majorHAnsi" w:cstheme="majorHAnsi"/>
          <w:b/>
          <w:i/>
          <w:highlight w:val="yellow"/>
          <w:lang w:eastAsia="es-PY"/>
        </w:rPr>
        <w:t>Fecha y hora de Consulta:</w:t>
      </w:r>
      <w:r w:rsidR="00C919B5">
        <w:rPr>
          <w:rFonts w:asciiTheme="majorHAnsi" w:eastAsia="Times New Roman" w:hAnsiTheme="majorHAnsi" w:cstheme="majorHAnsi"/>
          <w:b/>
          <w:i/>
          <w:highlight w:val="yellow"/>
          <w:lang w:eastAsia="es-PY"/>
        </w:rPr>
        <w:t xml:space="preserve"> </w:t>
      </w:r>
      <w:r w:rsidR="001B2AAF">
        <w:rPr>
          <w:rFonts w:asciiTheme="majorHAnsi" w:eastAsia="Times New Roman" w:hAnsiTheme="majorHAnsi" w:cstheme="majorHAnsi"/>
          <w:b/>
          <w:i/>
          <w:highlight w:val="yellow"/>
          <w:lang w:eastAsia="es-PY"/>
        </w:rPr>
        <w:t>0</w:t>
      </w:r>
      <w:r w:rsidR="000876B8">
        <w:rPr>
          <w:rFonts w:asciiTheme="majorHAnsi" w:eastAsia="Times New Roman" w:hAnsiTheme="majorHAnsi" w:cstheme="majorHAnsi"/>
          <w:b/>
          <w:i/>
          <w:highlight w:val="yellow"/>
          <w:lang w:eastAsia="es-PY"/>
        </w:rPr>
        <w:t>6</w:t>
      </w:r>
      <w:r w:rsidR="00C919B5">
        <w:rPr>
          <w:rFonts w:asciiTheme="majorHAnsi" w:eastAsia="Times New Roman" w:hAnsiTheme="majorHAnsi" w:cstheme="majorHAnsi"/>
          <w:b/>
          <w:i/>
          <w:highlight w:val="yellow"/>
          <w:lang w:eastAsia="es-PY"/>
        </w:rPr>
        <w:t>/0</w:t>
      </w:r>
      <w:r w:rsidR="00463FFC">
        <w:rPr>
          <w:rFonts w:asciiTheme="majorHAnsi" w:eastAsia="Times New Roman" w:hAnsiTheme="majorHAnsi" w:cstheme="majorHAnsi"/>
          <w:b/>
          <w:i/>
          <w:highlight w:val="yellow"/>
          <w:lang w:eastAsia="es-PY"/>
        </w:rPr>
        <w:t>7</w:t>
      </w:r>
      <w:r w:rsidR="00300547" w:rsidRPr="002F46C5">
        <w:rPr>
          <w:rFonts w:asciiTheme="majorHAnsi" w:eastAsia="Times New Roman" w:hAnsiTheme="majorHAnsi" w:cstheme="majorHAnsi"/>
          <w:b/>
          <w:i/>
          <w:highlight w:val="yellow"/>
          <w:lang w:eastAsia="es-PY"/>
        </w:rPr>
        <w:t>/202</w:t>
      </w:r>
      <w:r w:rsidR="001B2AAF">
        <w:rPr>
          <w:rFonts w:asciiTheme="majorHAnsi" w:eastAsia="Times New Roman" w:hAnsiTheme="majorHAnsi" w:cstheme="majorHAnsi"/>
          <w:b/>
          <w:i/>
          <w:highlight w:val="yellow"/>
          <w:lang w:eastAsia="es-PY"/>
        </w:rPr>
        <w:t>6</w:t>
      </w:r>
      <w:r w:rsidR="00300547" w:rsidRPr="002F46C5">
        <w:rPr>
          <w:rFonts w:asciiTheme="majorHAnsi" w:eastAsia="Times New Roman" w:hAnsiTheme="majorHAnsi" w:cstheme="majorHAnsi"/>
          <w:b/>
          <w:i/>
          <w:highlight w:val="yellow"/>
          <w:lang w:eastAsia="es-PY"/>
        </w:rPr>
        <w:t xml:space="preserve">; hasta las </w:t>
      </w:r>
      <w:r w:rsidR="002A42DF">
        <w:rPr>
          <w:rFonts w:asciiTheme="majorHAnsi" w:eastAsia="Times New Roman" w:hAnsiTheme="majorHAnsi" w:cstheme="majorHAnsi"/>
          <w:b/>
          <w:i/>
          <w:highlight w:val="yellow"/>
          <w:lang w:eastAsia="es-PY"/>
        </w:rPr>
        <w:t>11</w:t>
      </w:r>
      <w:r w:rsidR="00300547" w:rsidRPr="002F46C5">
        <w:rPr>
          <w:rFonts w:asciiTheme="majorHAnsi" w:eastAsia="Times New Roman" w:hAnsiTheme="majorHAnsi" w:cstheme="majorHAnsi"/>
          <w:b/>
          <w:i/>
          <w:highlight w:val="yellow"/>
          <w:lang w:eastAsia="es-PY"/>
        </w:rPr>
        <w:t>:00 horas</w:t>
      </w:r>
    </w:p>
    <w:p w14:paraId="609FA485" w14:textId="0B784F36" w:rsidR="002A42DF" w:rsidRPr="00A84C7A" w:rsidRDefault="002A42DF" w:rsidP="00EA240D">
      <w:pPr>
        <w:tabs>
          <w:tab w:val="left" w:pos="3014"/>
        </w:tabs>
        <w:spacing w:after="0"/>
        <w:jc w:val="both"/>
        <w:rPr>
          <w:rFonts w:asciiTheme="majorHAnsi" w:eastAsia="Times New Roman" w:hAnsiTheme="majorHAnsi" w:cstheme="majorHAnsi"/>
          <w:b/>
          <w:i/>
          <w:lang w:eastAsia="es-PY"/>
        </w:rPr>
      </w:pPr>
      <w:r w:rsidRPr="002A42DF">
        <w:rPr>
          <w:rFonts w:asciiTheme="majorHAnsi" w:eastAsia="Times New Roman" w:hAnsiTheme="majorHAnsi" w:cstheme="majorHAnsi"/>
          <w:b/>
          <w:i/>
          <w:highlight w:val="yellow"/>
          <w:lang w:eastAsia="es-PY"/>
        </w:rPr>
        <w:t>Lugar: Dirección de Contrataciones – Rectorado UNA , Campus UNA</w:t>
      </w:r>
    </w:p>
    <w:p w14:paraId="6A6FF1EE" w14:textId="77777777" w:rsidR="00BD22FD" w:rsidRPr="002313A3" w:rsidRDefault="002313A3" w:rsidP="001F39EF">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b/>
          <w:color w:val="000000"/>
          <w:lang w:eastAsia="es-PY"/>
        </w:rPr>
      </w:pPr>
      <w:r w:rsidRPr="002313A3">
        <w:rPr>
          <w:rFonts w:asciiTheme="majorHAnsi" w:hAnsiTheme="majorHAnsi" w:cstheme="majorHAnsi"/>
          <w:b/>
          <w:color w:val="000000"/>
          <w:lang w:eastAsia="es-PY"/>
        </w:rPr>
        <w:t>OFERENTES EN CONSORCIO</w:t>
      </w:r>
    </w:p>
    <w:p w14:paraId="63A11CD6" w14:textId="77777777" w:rsidR="00BD22FD" w:rsidRPr="00370012" w:rsidRDefault="00BD22FD" w:rsidP="005D33BC">
      <w:pPr>
        <w:pStyle w:val="PrrafodelistaCar"/>
        <w:spacing w:after="150"/>
        <w:jc w:val="both"/>
        <w:rPr>
          <w:rFonts w:asciiTheme="majorHAnsi" w:hAnsiTheme="majorHAnsi" w:cstheme="majorHAnsi"/>
          <w:lang w:eastAsia="es-PY"/>
        </w:rPr>
      </w:pPr>
      <w:r w:rsidRPr="00370012">
        <w:rPr>
          <w:rFonts w:asciiTheme="majorHAnsi" w:hAnsiTheme="majorHAnsi" w:cstheme="majorHAnsi"/>
          <w:lang w:eastAsia="es-PY"/>
        </w:rPr>
        <w:t>Dos o más interesados podrán unirse temporalmente para presentar una oferta sin crear una persona jurídica distinta y deberán designar a uno de sus integrantes como líder quien suscribirá la oferta y los documentos relativos al procedimiento de contratación. Se deberá realizar el procedimiento de activación del consorcio directamente a través del Registro de Proveedores del Estado.</w:t>
      </w:r>
      <w:r w:rsidR="005D33BC">
        <w:rPr>
          <w:rFonts w:asciiTheme="majorHAnsi" w:hAnsiTheme="majorHAnsi" w:cstheme="majorHAnsi"/>
          <w:lang w:eastAsia="es-PY"/>
        </w:rPr>
        <w:t xml:space="preserve"> </w:t>
      </w:r>
      <w:r w:rsidRPr="00370012">
        <w:rPr>
          <w:rFonts w:asciiTheme="majorHAnsi" w:hAnsiTheme="majorHAnsi" w:cstheme="majorHAnsi"/>
          <w:lang w:eastAsia="es-PY"/>
        </w:rPr>
        <w:t>Para ello deberán presentar una escritura pública de constitución que reúna las características previstas en el Decreto reglamentario o un acuerdo de intención de participación en contrato de consorcio, el cual se deberá formalizar por escritura pública en caso de resultar adjudicados, antes de la firma del contrato.</w:t>
      </w:r>
    </w:p>
    <w:p w14:paraId="36DC34BB" w14:textId="77777777" w:rsidR="00BD22FD" w:rsidRPr="00370012" w:rsidRDefault="00BD22FD" w:rsidP="00636C3A">
      <w:pPr>
        <w:spacing w:after="15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 xml:space="preserve">Los integrantes de un consorcio no podrán presentar ofertas individuales ni conformar más de un consorcio en un mismo lote o ítem, lo que no impide que puedan presentarse individualmente o </w:t>
      </w:r>
      <w:r w:rsidRPr="00370012">
        <w:rPr>
          <w:rFonts w:asciiTheme="majorHAnsi" w:eastAsia="Times New Roman" w:hAnsiTheme="majorHAnsi" w:cstheme="majorHAnsi"/>
          <w:lang w:eastAsia="es-PY"/>
        </w:rPr>
        <w:lastRenderedPageBreak/>
        <w:t>conformar otro consorcio que participe en diferentes partidas.</w:t>
      </w:r>
      <w:r w:rsidR="005D33BC">
        <w:rPr>
          <w:rFonts w:asciiTheme="majorHAnsi" w:eastAsia="Times New Roman" w:hAnsiTheme="majorHAnsi" w:cstheme="majorHAnsi"/>
          <w:lang w:eastAsia="es-PY"/>
        </w:rPr>
        <w:t xml:space="preserve"> </w:t>
      </w:r>
      <w:r w:rsidRPr="00370012">
        <w:rPr>
          <w:rFonts w:asciiTheme="majorHAnsi" w:eastAsia="Times New Roman" w:hAnsiTheme="majorHAnsi" w:cstheme="majorHAnsi"/>
          <w:lang w:eastAsia="es-PY"/>
        </w:rPr>
        <w:t>En todo lo demás deberán ajustarse a lo dispuesto en la normativa legal vigente.</w:t>
      </w:r>
    </w:p>
    <w:p w14:paraId="38DFAE7E" w14:textId="77777777" w:rsidR="00042751" w:rsidRPr="00C05435" w:rsidRDefault="00C05435" w:rsidP="00B20E68">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b/>
          <w:color w:val="000000"/>
          <w:lang w:eastAsia="es-PY"/>
        </w:rPr>
      </w:pPr>
      <w:r w:rsidRPr="00C05435">
        <w:rPr>
          <w:rFonts w:asciiTheme="majorHAnsi" w:hAnsiTheme="majorHAnsi" w:cstheme="majorHAnsi"/>
          <w:b/>
          <w:color w:val="000000"/>
          <w:lang w:eastAsia="es-PY"/>
        </w:rPr>
        <w:t>IDIOMA DE LA OFERTA</w:t>
      </w:r>
      <w:r w:rsidRPr="00C05435">
        <w:rPr>
          <w:rFonts w:asciiTheme="majorHAnsi" w:hAnsiTheme="majorHAnsi" w:cstheme="majorHAnsi"/>
          <w:b/>
          <w:color w:val="000000"/>
          <w:lang w:eastAsia="es-PY"/>
        </w:rPr>
        <w:tab/>
      </w:r>
      <w:r w:rsidRPr="00C05435">
        <w:rPr>
          <w:rFonts w:asciiTheme="majorHAnsi" w:hAnsiTheme="majorHAnsi" w:cstheme="majorHAnsi"/>
          <w:b/>
          <w:color w:val="000000"/>
          <w:lang w:eastAsia="es-PY"/>
        </w:rPr>
        <w:tab/>
      </w:r>
      <w:r w:rsidRPr="00C05435">
        <w:rPr>
          <w:rFonts w:asciiTheme="majorHAnsi" w:hAnsiTheme="majorHAnsi" w:cstheme="majorHAnsi"/>
          <w:b/>
          <w:color w:val="000000"/>
          <w:lang w:eastAsia="es-PY"/>
        </w:rPr>
        <w:tab/>
      </w:r>
    </w:p>
    <w:p w14:paraId="7835F954" w14:textId="77777777" w:rsidR="00042751" w:rsidRPr="00370012" w:rsidRDefault="00042751" w:rsidP="0050730C">
      <w:pPr>
        <w:pStyle w:val="PrrafodelistaCar"/>
        <w:shd w:val="clear" w:color="auto" w:fill="FFFFFF"/>
        <w:spacing w:after="0"/>
        <w:jc w:val="both"/>
        <w:rPr>
          <w:rFonts w:asciiTheme="majorHAnsi" w:hAnsiTheme="majorHAnsi" w:cstheme="majorHAnsi"/>
          <w:lang w:eastAsia="es-PY"/>
        </w:rPr>
      </w:pPr>
      <w:r w:rsidRPr="00370012">
        <w:rPr>
          <w:rFonts w:asciiTheme="majorHAnsi" w:hAnsiTheme="majorHAnsi" w:cstheme="majorHAnsi"/>
          <w:lang w:eastAsia="es-PY"/>
        </w:rPr>
        <w:t xml:space="preserve">La oferta deberá ser presentada en </w:t>
      </w:r>
      <w:r w:rsidRPr="00C05435">
        <w:rPr>
          <w:rFonts w:asciiTheme="majorHAnsi" w:hAnsiTheme="majorHAnsi" w:cstheme="majorHAnsi"/>
          <w:b/>
          <w:i/>
          <w:u w:val="single"/>
          <w:lang w:eastAsia="es-PY"/>
        </w:rPr>
        <w:t>idioma castellano o en su defecto acompañada de su traducción oficial</w:t>
      </w:r>
      <w:r w:rsidRPr="00370012">
        <w:rPr>
          <w:rFonts w:asciiTheme="majorHAnsi" w:hAnsiTheme="majorHAnsi" w:cstheme="majorHAnsi"/>
          <w:lang w:eastAsia="es-PY"/>
        </w:rPr>
        <w:t>, realizada por un traductor público matriculado en la República del Paraguay.     </w:t>
      </w:r>
    </w:p>
    <w:p w14:paraId="49AAF863" w14:textId="77777777" w:rsidR="00042751" w:rsidRPr="0050730C" w:rsidRDefault="00B20E68" w:rsidP="00B20E68">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b/>
          <w:color w:val="000000"/>
          <w:lang w:eastAsia="es-PY"/>
        </w:rPr>
      </w:pPr>
      <w:r w:rsidRPr="0050730C">
        <w:rPr>
          <w:rFonts w:asciiTheme="majorHAnsi" w:hAnsiTheme="majorHAnsi" w:cstheme="majorHAnsi"/>
          <w:b/>
          <w:color w:val="000000"/>
          <w:lang w:eastAsia="es-PY"/>
        </w:rPr>
        <w:t>PRECIO Y FORMULARIO DE LA OFERTA</w:t>
      </w:r>
    </w:p>
    <w:p w14:paraId="3F07C4F5" w14:textId="77777777" w:rsidR="00042751" w:rsidRPr="00370012" w:rsidRDefault="00042751" w:rsidP="00B60C60">
      <w:pPr>
        <w:pStyle w:val="PrrafodelistaCar"/>
        <w:shd w:val="clear" w:color="auto" w:fill="FFFFFF"/>
        <w:spacing w:after="0"/>
        <w:ind w:left="284" w:hanging="284"/>
        <w:jc w:val="both"/>
        <w:rPr>
          <w:rFonts w:asciiTheme="majorHAnsi" w:hAnsiTheme="majorHAnsi" w:cstheme="majorHAnsi"/>
          <w:lang w:eastAsia="es-PY"/>
        </w:rPr>
      </w:pPr>
      <w:r w:rsidRPr="00370012">
        <w:rPr>
          <w:rFonts w:asciiTheme="majorHAnsi" w:hAnsiTheme="majorHAnsi" w:cstheme="majorHAnsi"/>
          <w:lang w:eastAsia="es-PY"/>
        </w:rPr>
        <w:t>1. Para la cotización el oferente deberá ajustarse a los requerimientos que se indican a continuación:</w:t>
      </w:r>
    </w:p>
    <w:p w14:paraId="281BC06D"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a) El precio cotizado deberá ser el mejor precio posible, considerando que en la oferta no se aceptará la inclusión de descuentos de ningún tipo.</w:t>
      </w:r>
    </w:p>
    <w:p w14:paraId="4BB1CBC5"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b) En el caso del sistema de adjudicación por la totalidad de los bienes y/o insumos requeridos, el oferente deberá cotizar en la lista de precios de todos los ítems, con sus precios unitarios y totales correspondientes.</w:t>
      </w:r>
    </w:p>
    <w:p w14:paraId="7EE32AEA"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c) En el caso del sistema de adjudicación por lotes, el oferente cotizará en la lista de precios uno o más lotes, e indicará todos los ítems del lote ofertado con sus precios unitarios y totales correspondientes. En caso de no cotizar uno o más lotes, los lotes no cotizados no requieren ser incorporados a la planilla de precios.</w:t>
      </w:r>
    </w:p>
    <w:p w14:paraId="6BF257DA"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d) En el caso del sistema de adjudicación por ítems, el oferente podrá ofertar por uno o más ítems, en cuyo caso deberá cotizar el precio unitario y total de cada uno o más ítems, los ítems no cotizados no requieren ser incorporados a la planilla de precios.</w:t>
      </w:r>
    </w:p>
    <w:p w14:paraId="4B214858" w14:textId="77777777" w:rsidR="00042751" w:rsidRPr="00370012" w:rsidRDefault="00042751" w:rsidP="00B60C60">
      <w:pPr>
        <w:shd w:val="clear" w:color="auto" w:fill="FFFFFF"/>
        <w:spacing w:after="0"/>
        <w:ind w:left="284" w:hanging="284"/>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2. En caso de que se establezca en las bases de la contratación, los precios indicados en la lista de precios serán consignados separadamente de la siguiente manera:</w:t>
      </w:r>
    </w:p>
    <w:p w14:paraId="56E14570"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a) El precio de bienes y/o insumos cotizados, incluidos todos los derechos de aduana, los impuestos al valor agregado o de otro tipo pagados o por pagar sobre los componentes y materia prima utilizada en la fabricación o ensamblaje de los bienes;</w:t>
      </w:r>
    </w:p>
    <w:p w14:paraId="1B31C1FE" w14:textId="77777777"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b) Todo impuesto al valor agregado u otro tipo de impuesto que obligue la República del Paraguay a pagar sobre los bienes en caso de ser adjudicado el contrato; además, se deberá indicar los ítems exentos de IVA, cuando los hubiere y</w:t>
      </w:r>
    </w:p>
    <w:p w14:paraId="5EEBDAC1" w14:textId="1A32C3AF" w:rsidR="00042751" w:rsidRPr="00370012" w:rsidRDefault="00042751" w:rsidP="00B60C60">
      <w:pPr>
        <w:shd w:val="clear" w:color="auto" w:fill="FFFFFF"/>
        <w:spacing w:after="0"/>
        <w:ind w:left="57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 xml:space="preserve">c) El precio de otros servicios conexos (incluyendo su impuesto al valor agregado), si los hubiere, enumerados en los datos </w:t>
      </w:r>
      <w:r w:rsidR="002A42DF" w:rsidRPr="00370012">
        <w:rPr>
          <w:rFonts w:asciiTheme="majorHAnsi" w:eastAsia="Times New Roman" w:hAnsiTheme="majorHAnsi" w:cstheme="majorHAnsi"/>
          <w:lang w:eastAsia="es-PY"/>
        </w:rPr>
        <w:t>del procedimiento</w:t>
      </w:r>
      <w:r w:rsidR="00DA25BC">
        <w:rPr>
          <w:rFonts w:asciiTheme="majorHAnsi" w:eastAsia="Times New Roman" w:hAnsiTheme="majorHAnsi" w:cstheme="majorHAnsi"/>
          <w:lang w:eastAsia="es-PY"/>
        </w:rPr>
        <w:t xml:space="preserve"> de adquisición</w:t>
      </w:r>
      <w:r w:rsidRPr="00370012">
        <w:rPr>
          <w:rFonts w:asciiTheme="majorHAnsi" w:eastAsia="Times New Roman" w:hAnsiTheme="majorHAnsi" w:cstheme="majorHAnsi"/>
          <w:lang w:eastAsia="es-PY"/>
        </w:rPr>
        <w:t>.</w:t>
      </w:r>
    </w:p>
    <w:p w14:paraId="193401C5" w14:textId="77777777" w:rsidR="00042751" w:rsidRPr="00370012" w:rsidRDefault="00042751" w:rsidP="00B60C60">
      <w:pPr>
        <w:shd w:val="clear" w:color="auto" w:fill="FFFFFF"/>
        <w:spacing w:after="0"/>
        <w:ind w:left="284" w:hanging="284"/>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 xml:space="preserve">3. En caso de indicarse en el </w:t>
      </w:r>
      <w:r w:rsidR="000967F0" w:rsidRPr="00370012">
        <w:rPr>
          <w:rFonts w:asciiTheme="majorHAnsi" w:eastAsia="Times New Roman" w:hAnsiTheme="majorHAnsi" w:cstheme="majorHAnsi"/>
          <w:lang w:eastAsia="es-PY"/>
        </w:rPr>
        <w:t>PBC</w:t>
      </w:r>
      <w:r w:rsidRPr="00370012">
        <w:rPr>
          <w:rFonts w:asciiTheme="majorHAnsi" w:eastAsia="Times New Roman" w:hAnsiTheme="majorHAnsi" w:cstheme="majorHAnsi"/>
          <w:lang w:eastAsia="es-PY"/>
        </w:rPr>
        <w:t xml:space="preserve">, que se utilizará el atributo de contrato abierto, cuando se realice por montos mínimos y máximos deberán indicarse el precio unitario de los bienes y/o </w:t>
      </w:r>
      <w:r w:rsidR="00571990">
        <w:rPr>
          <w:rFonts w:asciiTheme="majorHAnsi" w:eastAsia="Times New Roman" w:hAnsiTheme="majorHAnsi" w:cstheme="majorHAnsi"/>
          <w:lang w:eastAsia="es-PY"/>
        </w:rPr>
        <w:t xml:space="preserve">insumos </w:t>
      </w:r>
      <w:r w:rsidRPr="00370012">
        <w:rPr>
          <w:rFonts w:asciiTheme="majorHAnsi" w:eastAsia="Times New Roman" w:hAnsiTheme="majorHAnsi" w:cstheme="majorHAnsi"/>
          <w:lang w:eastAsia="es-PY"/>
        </w:rPr>
        <w:t>ofertados; y en caso de realizarse por cantidades mínimas y máximas, deberán cotizarse los precios unitarios y los totales se calcularán multiplicado los precios unitarios por la cantidad máxima correspondiente.</w:t>
      </w:r>
    </w:p>
    <w:p w14:paraId="7B34AC5E" w14:textId="77777777" w:rsidR="00042751" w:rsidRPr="00370012" w:rsidRDefault="00042751" w:rsidP="00B60C60">
      <w:pPr>
        <w:shd w:val="clear" w:color="auto" w:fill="FFFFFF"/>
        <w:spacing w:after="0"/>
        <w:ind w:left="284" w:hanging="284"/>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 xml:space="preserve">4. El precio del contrato que cobre el proveedor por los bienes y/o </w:t>
      </w:r>
      <w:r w:rsidR="000967F0" w:rsidRPr="00370012">
        <w:rPr>
          <w:rFonts w:asciiTheme="majorHAnsi" w:eastAsia="Times New Roman" w:hAnsiTheme="majorHAnsi" w:cstheme="majorHAnsi"/>
          <w:lang w:eastAsia="es-PY"/>
        </w:rPr>
        <w:t>insumos</w:t>
      </w:r>
      <w:r w:rsidRPr="00370012">
        <w:rPr>
          <w:rFonts w:asciiTheme="majorHAnsi" w:eastAsia="Times New Roman" w:hAnsiTheme="majorHAnsi" w:cstheme="majorHAnsi"/>
          <w:lang w:eastAsia="es-PY"/>
        </w:rPr>
        <w:t xml:space="preserve"> suministrados en virtud del contrato no podrá ser diferente a los precios unitarios cotizados en su oferta, excepto por cualquier ajuste previsto en el mismo.</w:t>
      </w:r>
    </w:p>
    <w:p w14:paraId="2EC58F21" w14:textId="77777777" w:rsidR="00042751" w:rsidRPr="00370012" w:rsidRDefault="00042751" w:rsidP="00B60C60">
      <w:pPr>
        <w:shd w:val="clear" w:color="auto" w:fill="FFFFFF"/>
        <w:spacing w:after="0"/>
        <w:ind w:left="142" w:hanging="142"/>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5. En caso que se requiera el desglose de los componentes de los precios será con el propósito de facilitar a la convocante la comparación de las ofertas.</w:t>
      </w:r>
    </w:p>
    <w:p w14:paraId="6C10BDED" w14:textId="77777777" w:rsidR="000967F0" w:rsidRPr="0050730C" w:rsidRDefault="0050730C" w:rsidP="00B60C60">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b/>
          <w:color w:val="000000"/>
          <w:lang w:eastAsia="es-PY"/>
        </w:rPr>
      </w:pPr>
      <w:r w:rsidRPr="0050730C">
        <w:rPr>
          <w:rFonts w:asciiTheme="majorHAnsi" w:hAnsiTheme="majorHAnsi" w:cstheme="majorHAnsi"/>
          <w:b/>
          <w:color w:val="000000"/>
          <w:lang w:eastAsia="es-PY"/>
        </w:rPr>
        <w:t>MONEDA DE LA OFERTA Y PAGO</w:t>
      </w:r>
    </w:p>
    <w:p w14:paraId="59531E3D" w14:textId="77777777" w:rsidR="000967F0" w:rsidRPr="00370012" w:rsidRDefault="000967F0" w:rsidP="00636C3A">
      <w:pPr>
        <w:spacing w:after="0"/>
        <w:jc w:val="both"/>
        <w:rPr>
          <w:rFonts w:asciiTheme="majorHAnsi" w:hAnsiTheme="majorHAnsi" w:cstheme="majorHAnsi"/>
          <w:b/>
          <w:lang w:eastAsia="es-PY"/>
        </w:rPr>
      </w:pPr>
      <w:r w:rsidRPr="00370012">
        <w:rPr>
          <w:rFonts w:asciiTheme="majorHAnsi" w:eastAsia="Times New Roman" w:hAnsiTheme="majorHAnsi" w:cstheme="majorHAnsi"/>
          <w:lang w:val="es-ES" w:eastAsia="es-ES"/>
        </w:rPr>
        <w:t xml:space="preserve">La moneda de la oferta y pago será: </w:t>
      </w:r>
      <w:r w:rsidRPr="00411F32">
        <w:rPr>
          <w:rFonts w:asciiTheme="majorHAnsi" w:eastAsia="Times New Roman" w:hAnsiTheme="majorHAnsi" w:cstheme="majorHAnsi"/>
          <w:b/>
          <w:i/>
          <w:u w:val="single"/>
          <w:lang w:val="es-ES" w:eastAsia="es-ES"/>
        </w:rPr>
        <w:t>en guaraníes</w:t>
      </w:r>
      <w:r w:rsidRPr="00370012">
        <w:rPr>
          <w:rFonts w:asciiTheme="majorHAnsi" w:eastAsia="Times New Roman" w:hAnsiTheme="majorHAnsi" w:cstheme="majorHAnsi"/>
          <w:lang w:val="es-ES" w:eastAsia="es-ES"/>
        </w:rPr>
        <w:t xml:space="preserve">. </w:t>
      </w:r>
      <w:r w:rsidRPr="00370012">
        <w:rPr>
          <w:rFonts w:asciiTheme="majorHAnsi" w:hAnsiTheme="majorHAnsi" w:cstheme="majorHAnsi"/>
          <w:lang w:eastAsia="es-PY"/>
        </w:rPr>
        <w:t>La cotización en moneda diferente de la indicada en este apartado será causal de rechazo de la oferta. Si la oferta seleccionada es en guaraníes, la oferta se deberá expresar en números enteros, no se aceptarán cotizaciones en décimos y céntimos</w:t>
      </w:r>
      <w:r w:rsidRPr="00370012">
        <w:rPr>
          <w:rFonts w:asciiTheme="majorHAnsi" w:hAnsiTheme="majorHAnsi" w:cstheme="majorHAnsi"/>
          <w:b/>
          <w:lang w:eastAsia="es-PY"/>
        </w:rPr>
        <w:t>.</w:t>
      </w:r>
    </w:p>
    <w:p w14:paraId="64BBEEC9" w14:textId="77777777" w:rsidR="00266BDA" w:rsidRPr="00194B66" w:rsidRDefault="00194B66" w:rsidP="007E7663">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b/>
          <w:color w:val="000000"/>
          <w:lang w:eastAsia="es-PY"/>
        </w:rPr>
      </w:pPr>
      <w:r w:rsidRPr="00194B66">
        <w:rPr>
          <w:rFonts w:asciiTheme="majorHAnsi" w:hAnsiTheme="majorHAnsi" w:cstheme="majorHAnsi"/>
          <w:b/>
          <w:color w:val="000000"/>
          <w:lang w:eastAsia="es-PY"/>
        </w:rPr>
        <w:t>MÉTODO DE PRESENTACIÓN DE OFERTAS</w:t>
      </w:r>
    </w:p>
    <w:p w14:paraId="18C4930D"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El sistema de presentación de ofertas para esta convocatoria será: </w:t>
      </w:r>
      <w:r w:rsidRPr="00C87E74">
        <w:rPr>
          <w:rFonts w:asciiTheme="majorHAnsi" w:eastAsia="Times New Roman" w:hAnsiTheme="majorHAnsi" w:cstheme="majorHAnsi"/>
          <w:b/>
          <w:i/>
          <w:u w:val="single"/>
          <w:lang w:eastAsia="es-PY"/>
        </w:rPr>
        <w:t>En un solo sobre</w:t>
      </w:r>
      <w:r w:rsidRPr="00370012">
        <w:rPr>
          <w:rFonts w:asciiTheme="majorHAnsi" w:eastAsia="Times New Roman" w:hAnsiTheme="majorHAnsi" w:cstheme="majorHAnsi"/>
          <w:color w:val="000000"/>
          <w:lang w:eastAsia="es-PY"/>
        </w:rPr>
        <w:t>.</w:t>
      </w:r>
    </w:p>
    <w:p w14:paraId="484A2121"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lastRenderedPageBreak/>
        <w:t>En caso de presentación física, los sobres deberán:</w:t>
      </w:r>
    </w:p>
    <w:p w14:paraId="5EE5CCCC"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1. Indicar el nombre y la dirección del oferente;</w:t>
      </w:r>
    </w:p>
    <w:p w14:paraId="30EE97D6"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2. Estar dirigidos a la convocante;</w:t>
      </w:r>
    </w:p>
    <w:p w14:paraId="4C43AB88"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3. Llevar la identificación específica del proceso de contratación indicado en el </w:t>
      </w:r>
      <w:r w:rsidR="00CE0ECF" w:rsidRPr="00370012">
        <w:rPr>
          <w:rFonts w:asciiTheme="majorHAnsi" w:eastAsia="Times New Roman" w:hAnsiTheme="majorHAnsi" w:cstheme="majorHAnsi"/>
          <w:color w:val="000000"/>
          <w:lang w:eastAsia="es-PY"/>
        </w:rPr>
        <w:t>PBC</w:t>
      </w:r>
      <w:r w:rsidRPr="00370012">
        <w:rPr>
          <w:rFonts w:asciiTheme="majorHAnsi" w:eastAsia="Times New Roman" w:hAnsiTheme="majorHAnsi" w:cstheme="majorHAnsi"/>
          <w:color w:val="000000"/>
          <w:lang w:eastAsia="es-PY"/>
        </w:rPr>
        <w:t>; y</w:t>
      </w:r>
    </w:p>
    <w:p w14:paraId="5B18627C" w14:textId="77777777" w:rsidR="00266BDA" w:rsidRPr="00370012" w:rsidRDefault="00266BDA"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4. Llevar una advertencia de no abrir antes de la hora y fecha de apertura de ofertas.</w:t>
      </w:r>
    </w:p>
    <w:p w14:paraId="51872655" w14:textId="77777777" w:rsidR="00687675" w:rsidRPr="00370012" w:rsidRDefault="00266BDA" w:rsidP="00BA238D">
      <w:pPr>
        <w:spacing w:after="150"/>
        <w:ind w:left="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Si los sobres no están cerrados e identificados como se requiere, la convocante no se responsabilizará en caso de que la oferta se extravíe o sea abierta prematuramente.</w:t>
      </w:r>
    </w:p>
    <w:p w14:paraId="48D66B50" w14:textId="77777777" w:rsidR="00687675" w:rsidRPr="007345C7" w:rsidRDefault="007E7663" w:rsidP="007E7663">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b/>
          <w:color w:val="000000"/>
          <w:lang w:eastAsia="es-PY"/>
        </w:rPr>
      </w:pPr>
      <w:r w:rsidRPr="007345C7">
        <w:rPr>
          <w:rFonts w:asciiTheme="majorHAnsi" w:hAnsiTheme="majorHAnsi" w:cstheme="majorHAnsi"/>
          <w:b/>
          <w:color w:val="000000"/>
          <w:lang w:eastAsia="es-PY"/>
        </w:rPr>
        <w:t>DOCUMENTOS DE LA OFERTA</w:t>
      </w:r>
      <w:r w:rsidRPr="007345C7">
        <w:rPr>
          <w:rFonts w:asciiTheme="majorHAnsi" w:hAnsiTheme="majorHAnsi" w:cstheme="majorHAnsi"/>
          <w:b/>
          <w:color w:val="000000"/>
          <w:lang w:eastAsia="es-PY"/>
        </w:rPr>
        <w:tab/>
      </w:r>
      <w:r w:rsidRPr="007345C7">
        <w:rPr>
          <w:rFonts w:asciiTheme="majorHAnsi" w:hAnsiTheme="majorHAnsi" w:cstheme="majorHAnsi"/>
          <w:b/>
          <w:color w:val="000000"/>
          <w:lang w:eastAsia="es-PY"/>
        </w:rPr>
        <w:tab/>
      </w:r>
      <w:r w:rsidRPr="007345C7">
        <w:rPr>
          <w:rFonts w:asciiTheme="majorHAnsi" w:hAnsiTheme="majorHAnsi" w:cstheme="majorHAnsi"/>
          <w:b/>
          <w:color w:val="000000"/>
          <w:lang w:eastAsia="es-PY"/>
        </w:rPr>
        <w:tab/>
      </w:r>
    </w:p>
    <w:p w14:paraId="64DFAD22" w14:textId="77777777" w:rsidR="00687675" w:rsidRPr="00370012" w:rsidRDefault="00687675" w:rsidP="00636C3A">
      <w:pPr>
        <w:spacing w:after="0"/>
        <w:jc w:val="both"/>
        <w:rPr>
          <w:rFonts w:asciiTheme="majorHAnsi" w:eastAsia="Times New Roman" w:hAnsiTheme="majorHAnsi" w:cstheme="majorHAnsi"/>
          <w:lang w:val="es-ES" w:eastAsia="es-ES"/>
        </w:rPr>
      </w:pPr>
      <w:r w:rsidRPr="00370012">
        <w:rPr>
          <w:rFonts w:asciiTheme="majorHAnsi" w:eastAsia="Times New Roman" w:hAnsiTheme="majorHAnsi" w:cstheme="majorHAnsi"/>
          <w:lang w:val="es-ES" w:eastAsia="es-ES"/>
        </w:rPr>
        <w:t>El pliego, sus adendas y aclaraciones no forman parte de la oferta, por lo que no se exigirá la presentación de copias de los mismos con la oferta.</w:t>
      </w:r>
    </w:p>
    <w:p w14:paraId="7401DFB8" w14:textId="77777777" w:rsidR="00687675" w:rsidRDefault="00687675" w:rsidP="00636C3A">
      <w:pPr>
        <w:spacing w:after="0"/>
        <w:jc w:val="both"/>
        <w:rPr>
          <w:rFonts w:asciiTheme="majorHAnsi" w:eastAsia="Times New Roman" w:hAnsiTheme="majorHAnsi" w:cstheme="majorHAnsi"/>
          <w:lang w:val="es-ES" w:eastAsia="es-ES"/>
        </w:rPr>
      </w:pPr>
      <w:r w:rsidRPr="00370012">
        <w:rPr>
          <w:rFonts w:asciiTheme="majorHAnsi" w:eastAsia="Times New Roman" w:hAnsiTheme="majorHAnsi" w:cstheme="majorHAnsi"/>
          <w:lang w:val="es-ES" w:eastAsia="es-ES"/>
        </w:rPr>
        <w:t xml:space="preserve">Los oferentes inscriptos en el </w:t>
      </w:r>
      <w:r w:rsidRPr="00B92AD7">
        <w:rPr>
          <w:rFonts w:asciiTheme="majorHAnsi" w:eastAsia="Times New Roman" w:hAnsiTheme="majorHAnsi" w:cstheme="majorHAnsi"/>
          <w:b/>
          <w:i/>
          <w:u w:val="single"/>
          <w:lang w:val="es-ES" w:eastAsia="es-ES"/>
        </w:rPr>
        <w:t>Registro de Proveedores del Estado</w:t>
      </w:r>
      <w:r w:rsidRPr="00370012">
        <w:rPr>
          <w:rFonts w:asciiTheme="majorHAnsi" w:eastAsia="Times New Roman" w:hAnsiTheme="majorHAnsi" w:cstheme="majorHAnsi"/>
          <w:lang w:val="es-ES" w:eastAsia="es-ES"/>
        </w:rPr>
        <w:t xml:space="preserve">, podrán presentar con su oferta, la </w:t>
      </w:r>
      <w:r w:rsidRPr="00B92AD7">
        <w:rPr>
          <w:rFonts w:asciiTheme="majorHAnsi" w:eastAsia="Times New Roman" w:hAnsiTheme="majorHAnsi" w:cstheme="majorHAnsi"/>
          <w:b/>
          <w:i/>
          <w:u w:val="single"/>
          <w:lang w:val="es-ES" w:eastAsia="es-ES"/>
        </w:rPr>
        <w:t>Constancia del Perfil del Proveedor</w:t>
      </w:r>
      <w:r w:rsidRPr="00370012">
        <w:rPr>
          <w:rFonts w:asciiTheme="majorHAnsi" w:eastAsia="Times New Roman" w:hAnsiTheme="majorHAnsi" w:cstheme="majorHAnsi"/>
          <w:lang w:val="es-ES" w:eastAsia="es-ES"/>
        </w:rPr>
        <w:t>, que reemplazará a los documentos solicitados por la convocante en el presente pliego.</w:t>
      </w:r>
    </w:p>
    <w:p w14:paraId="06F0850B" w14:textId="42E8DD3C" w:rsidR="00687675" w:rsidRPr="00370012" w:rsidRDefault="00687675" w:rsidP="00683578">
      <w:pPr>
        <w:spacing w:after="0"/>
        <w:jc w:val="both"/>
        <w:rPr>
          <w:rFonts w:asciiTheme="majorHAnsi" w:eastAsia="Times New Roman" w:hAnsiTheme="majorHAnsi" w:cstheme="majorHAnsi"/>
          <w:lang w:val="es-ES" w:eastAsia="es-ES"/>
        </w:rPr>
      </w:pPr>
      <w:r w:rsidRPr="005F4F67">
        <w:rPr>
          <w:rFonts w:asciiTheme="majorHAnsi" w:eastAsia="Times New Roman" w:hAnsiTheme="majorHAnsi" w:cstheme="majorHAnsi"/>
          <w:lang w:val="es-ES" w:eastAsia="es-ES"/>
        </w:rPr>
        <w:t xml:space="preserve">Los oferentes deberán indicar en su oferta, qué documentos que forman parte de la misma son de carácter reservado e invocar la norma que ampara dicha reserva, para así dar cumplimiento a lo estipulado en la Ley N° 5282/14 </w:t>
      </w:r>
      <w:r w:rsidR="00815445">
        <w:rPr>
          <w:rFonts w:asciiTheme="majorHAnsi" w:eastAsia="Times New Roman" w:hAnsiTheme="majorHAnsi" w:cstheme="majorHAnsi"/>
          <w:lang w:val="es-ES" w:eastAsia="es-ES"/>
        </w:rPr>
        <w:t>“</w:t>
      </w:r>
      <w:r w:rsidRPr="005F4F67">
        <w:rPr>
          <w:rFonts w:asciiTheme="majorHAnsi" w:eastAsia="Times New Roman" w:hAnsiTheme="majorHAnsi" w:cstheme="majorHAnsi"/>
          <w:lang w:val="es-ES" w:eastAsia="es-ES"/>
        </w:rPr>
        <w:t>DE LIBRE ACCESO CIUDADANO A LA INFORMACIÓN PÚBLICA Y TRANSPARENCIA GUBERNAMENTAL</w:t>
      </w:r>
      <w:r w:rsidR="00815445">
        <w:rPr>
          <w:rFonts w:asciiTheme="majorHAnsi" w:eastAsia="Times New Roman" w:hAnsiTheme="majorHAnsi" w:cstheme="majorHAnsi"/>
          <w:lang w:val="es-ES" w:eastAsia="es-ES"/>
        </w:rPr>
        <w:t>”</w:t>
      </w:r>
      <w:r w:rsidRPr="005F4F67">
        <w:rPr>
          <w:rFonts w:asciiTheme="majorHAnsi" w:eastAsia="Times New Roman" w:hAnsiTheme="majorHAnsi" w:cstheme="majorHAnsi"/>
          <w:lang w:val="es-ES" w:eastAsia="es-ES"/>
        </w:rPr>
        <w:t>. Si el oferente no hace pronunciamiento expreso amparado en la Ley, se entenderá que toda su oferta y documentación es pública.</w:t>
      </w:r>
    </w:p>
    <w:p w14:paraId="542C9963" w14:textId="77777777" w:rsidR="007933B7" w:rsidRPr="008F1196" w:rsidRDefault="00C75747" w:rsidP="00C75747">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b/>
          <w:color w:val="000000"/>
          <w:lang w:eastAsia="es-PY"/>
        </w:rPr>
      </w:pPr>
      <w:r w:rsidRPr="008F1196">
        <w:rPr>
          <w:rFonts w:asciiTheme="majorHAnsi" w:hAnsiTheme="majorHAnsi" w:cstheme="majorHAnsi"/>
          <w:b/>
          <w:color w:val="000000"/>
          <w:lang w:eastAsia="es-PY"/>
        </w:rPr>
        <w:t>PERIODO DE VALIDEZ DE LA OFERTA</w:t>
      </w:r>
    </w:p>
    <w:p w14:paraId="4E05531D" w14:textId="77777777" w:rsidR="007933B7" w:rsidRPr="00370012" w:rsidRDefault="007933B7" w:rsidP="00C517F2">
      <w:pPr>
        <w:spacing w:after="0"/>
        <w:jc w:val="both"/>
        <w:rPr>
          <w:rFonts w:asciiTheme="majorHAnsi" w:hAnsiTheme="majorHAnsi" w:cstheme="majorHAnsi"/>
          <w:lang w:eastAsia="es-PY"/>
        </w:rPr>
      </w:pPr>
      <w:bookmarkStart w:id="5" w:name="_Hlk32506186"/>
      <w:r w:rsidRPr="00370012">
        <w:rPr>
          <w:rFonts w:asciiTheme="majorHAnsi" w:eastAsia="Times New Roman" w:hAnsiTheme="majorHAnsi" w:cstheme="majorHAnsi"/>
          <w:color w:val="000000"/>
          <w:lang w:eastAsia="es-PY"/>
        </w:rPr>
        <w:t xml:space="preserve">Las ofertas deberán mantenerse válidas (en días corridos) por: </w:t>
      </w:r>
      <w:r w:rsidRPr="00B92AD7">
        <w:rPr>
          <w:rFonts w:asciiTheme="majorHAnsi" w:eastAsia="Times New Roman" w:hAnsiTheme="majorHAnsi" w:cstheme="majorHAnsi"/>
          <w:b/>
          <w:i/>
          <w:u w:val="single"/>
          <w:lang w:eastAsia="es-PY"/>
        </w:rPr>
        <w:t xml:space="preserve">60 </w:t>
      </w:r>
      <w:r w:rsidR="00BC63F4">
        <w:rPr>
          <w:rFonts w:asciiTheme="majorHAnsi" w:eastAsia="Times New Roman" w:hAnsiTheme="majorHAnsi" w:cstheme="majorHAnsi"/>
          <w:b/>
          <w:i/>
          <w:u w:val="single"/>
          <w:lang w:eastAsia="es-PY"/>
        </w:rPr>
        <w:t xml:space="preserve">(sesenta) </w:t>
      </w:r>
      <w:r w:rsidRPr="00B92AD7">
        <w:rPr>
          <w:rFonts w:asciiTheme="majorHAnsi" w:eastAsia="Times New Roman" w:hAnsiTheme="majorHAnsi" w:cstheme="majorHAnsi"/>
          <w:b/>
          <w:i/>
          <w:u w:val="single"/>
          <w:lang w:eastAsia="es-PY"/>
        </w:rPr>
        <w:t>días</w:t>
      </w:r>
      <w:r w:rsidRPr="005B6046">
        <w:rPr>
          <w:rFonts w:asciiTheme="majorHAnsi" w:eastAsia="Times New Roman" w:hAnsiTheme="majorHAnsi" w:cstheme="majorHAnsi"/>
          <w:b/>
          <w:i/>
          <w:lang w:eastAsia="es-PY"/>
        </w:rPr>
        <w:t>.</w:t>
      </w:r>
      <w:r w:rsidRPr="005B6046">
        <w:rPr>
          <w:rFonts w:asciiTheme="majorHAnsi" w:eastAsia="Times New Roman" w:hAnsiTheme="majorHAnsi" w:cstheme="majorHAnsi"/>
          <w:lang w:eastAsia="es-PY"/>
        </w:rPr>
        <w:t xml:space="preserve"> </w:t>
      </w:r>
      <w:r w:rsidRPr="00370012">
        <w:rPr>
          <w:rFonts w:asciiTheme="majorHAnsi" w:eastAsia="Times New Roman" w:hAnsiTheme="majorHAnsi" w:cstheme="majorHAnsi"/>
          <w:lang w:eastAsia="es-PY"/>
        </w:rPr>
        <w:t>Las ofertas se deberán mantener válidas por el periodo indicado en el presente apartado, a partir de la fecha límite para la presentación de ofertas, establecido por la convocante. Toda oferta con un periodo menor será rechazada.</w:t>
      </w:r>
      <w:r w:rsidR="000A25C5">
        <w:rPr>
          <w:rFonts w:asciiTheme="majorHAnsi" w:eastAsia="Times New Roman" w:hAnsiTheme="majorHAnsi" w:cstheme="majorHAnsi"/>
          <w:lang w:eastAsia="es-PY"/>
        </w:rPr>
        <w:t xml:space="preserve"> </w:t>
      </w:r>
      <w:bookmarkEnd w:id="5"/>
      <w:r w:rsidRPr="00370012">
        <w:rPr>
          <w:rFonts w:asciiTheme="majorHAnsi" w:eastAsia="Times New Roman" w:hAnsiTheme="majorHAnsi" w:cstheme="majorHAnsi"/>
          <w:color w:val="000000"/>
          <w:lang w:eastAsia="es-PY"/>
        </w:rPr>
        <w:t>La convocante en circunstancias excepcionales podrá solicitar, por escrito, al oferente que extienda el periodo de validez de la oferta, por lo tanto, la Garantía de Mantenimiento de la Oferta deberá ser también prorrogada.</w:t>
      </w:r>
      <w:r w:rsidR="00C517F2" w:rsidRPr="00370012">
        <w:rPr>
          <w:rFonts w:asciiTheme="majorHAnsi" w:eastAsia="Times New Roman" w:hAnsiTheme="majorHAnsi" w:cstheme="majorHAnsi"/>
          <w:color w:val="000000"/>
          <w:lang w:eastAsia="es-PY"/>
        </w:rPr>
        <w:t xml:space="preserve"> </w:t>
      </w:r>
      <w:r w:rsidRPr="00370012">
        <w:rPr>
          <w:rFonts w:asciiTheme="majorHAnsi" w:hAnsiTheme="majorHAnsi" w:cstheme="majorHAnsi"/>
          <w:lang w:eastAsia="es-PY"/>
        </w:rPr>
        <w:t>El oferente puede rehusarse a tal solicitud sin que se le haga efectiva su Garantía de Mantenimiento de Oferta. A los oferentes que acepten la solicitud de prórroga no se les solicitará ni permitirá que modifiquen sus ofertas.</w:t>
      </w:r>
    </w:p>
    <w:p w14:paraId="3D526BCF" w14:textId="77777777" w:rsidR="00CE241A" w:rsidRPr="000A25C5" w:rsidRDefault="000A25C5" w:rsidP="004F38D1">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b/>
          <w:color w:val="000000"/>
          <w:lang w:eastAsia="es-PY"/>
        </w:rPr>
      </w:pPr>
      <w:bookmarkStart w:id="6" w:name="_Hlk32506329"/>
      <w:r w:rsidRPr="000A25C5">
        <w:rPr>
          <w:rFonts w:asciiTheme="majorHAnsi" w:hAnsiTheme="majorHAnsi" w:cstheme="majorHAnsi"/>
          <w:b/>
          <w:color w:val="000000"/>
          <w:lang w:eastAsia="es-PY"/>
        </w:rPr>
        <w:t>GARANTÍAS: INSTRUMENTACIÓN, PLAZOS Y EJECUCIÓN</w:t>
      </w:r>
      <w:r w:rsidRPr="000A25C5">
        <w:rPr>
          <w:rFonts w:asciiTheme="majorHAnsi" w:hAnsiTheme="majorHAnsi" w:cstheme="majorHAnsi"/>
          <w:b/>
          <w:color w:val="000000"/>
          <w:lang w:eastAsia="es-PY"/>
        </w:rPr>
        <w:tab/>
      </w:r>
      <w:r w:rsidRPr="000A25C5">
        <w:rPr>
          <w:rFonts w:asciiTheme="majorHAnsi" w:hAnsiTheme="majorHAnsi" w:cstheme="majorHAnsi"/>
          <w:b/>
          <w:color w:val="000000"/>
          <w:lang w:eastAsia="es-PY"/>
        </w:rPr>
        <w:tab/>
      </w:r>
      <w:r w:rsidRPr="000A25C5">
        <w:rPr>
          <w:rFonts w:asciiTheme="majorHAnsi" w:hAnsiTheme="majorHAnsi" w:cstheme="majorHAnsi"/>
          <w:b/>
          <w:color w:val="000000"/>
          <w:lang w:eastAsia="es-PY"/>
        </w:rPr>
        <w:tab/>
      </w:r>
      <w:r w:rsidRPr="000A25C5">
        <w:rPr>
          <w:rFonts w:asciiTheme="majorHAnsi" w:hAnsiTheme="majorHAnsi" w:cstheme="majorHAnsi"/>
          <w:b/>
          <w:color w:val="000000"/>
          <w:lang w:eastAsia="es-PY"/>
        </w:rPr>
        <w:tab/>
      </w:r>
    </w:p>
    <w:bookmarkEnd w:id="6"/>
    <w:p w14:paraId="1DFEA9BC" w14:textId="77777777" w:rsidR="00CE241A" w:rsidRPr="00370012" w:rsidRDefault="00CE241A" w:rsidP="00CE241A">
      <w:pPr>
        <w:numPr>
          <w:ilvl w:val="0"/>
          <w:numId w:val="4"/>
        </w:num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La Garantía de Mantenimiento de Oferta deberá expedirse por el equivalente </w:t>
      </w:r>
      <w:r w:rsidRPr="000A25C5">
        <w:rPr>
          <w:rFonts w:asciiTheme="majorHAnsi" w:eastAsia="Times New Roman" w:hAnsiTheme="majorHAnsi" w:cstheme="majorHAnsi"/>
          <w:b/>
          <w:i/>
          <w:u w:val="single"/>
          <w:lang w:eastAsia="es-PY"/>
        </w:rPr>
        <w:t>5</w:t>
      </w:r>
      <w:r w:rsidR="00794408">
        <w:rPr>
          <w:rFonts w:asciiTheme="majorHAnsi" w:eastAsia="Times New Roman" w:hAnsiTheme="majorHAnsi" w:cstheme="majorHAnsi"/>
          <w:b/>
          <w:i/>
          <w:u w:val="single"/>
          <w:lang w:eastAsia="es-PY"/>
        </w:rPr>
        <w:t xml:space="preserve"> (cinco) </w:t>
      </w:r>
      <w:r w:rsidRPr="000A25C5">
        <w:rPr>
          <w:rFonts w:asciiTheme="majorHAnsi" w:eastAsia="Times New Roman" w:hAnsiTheme="majorHAnsi" w:cstheme="majorHAnsi"/>
          <w:b/>
          <w:i/>
          <w:u w:val="single"/>
          <w:lang w:eastAsia="es-PY"/>
        </w:rPr>
        <w:t>% (cinco por ciento)</w:t>
      </w:r>
      <w:r w:rsidRPr="00370012">
        <w:rPr>
          <w:rFonts w:asciiTheme="majorHAnsi" w:eastAsia="Times New Roman" w:hAnsiTheme="majorHAnsi" w:cstheme="majorHAnsi"/>
          <w:i/>
          <w:color w:val="FF0000"/>
          <w:lang w:eastAsia="es-PY"/>
        </w:rPr>
        <w:t xml:space="preserve"> </w:t>
      </w:r>
      <w:r w:rsidRPr="00370012">
        <w:rPr>
          <w:rFonts w:asciiTheme="majorHAnsi" w:eastAsia="Times New Roman" w:hAnsiTheme="majorHAnsi" w:cstheme="majorHAnsi"/>
          <w:color w:val="000000"/>
          <w:lang w:eastAsia="es-PY"/>
        </w:rPr>
        <w:t>del monto total de la oferta. El oferente debe presentar con su oferta una garantía de mantenimiento instrumentada a través de:</w:t>
      </w:r>
    </w:p>
    <w:p w14:paraId="4DC25A5A" w14:textId="77777777" w:rsidR="00CE241A" w:rsidRPr="00751E51" w:rsidRDefault="00CE241A" w:rsidP="00775180">
      <w:pPr>
        <w:pStyle w:val="Ttulo2Car"/>
        <w:numPr>
          <w:ilvl w:val="1"/>
          <w:numId w:val="4"/>
        </w:numPr>
        <w:autoSpaceDE w:val="0"/>
        <w:autoSpaceDN w:val="0"/>
        <w:ind w:left="993" w:hanging="284"/>
        <w:contextualSpacing/>
        <w:rPr>
          <w:rFonts w:asciiTheme="majorHAnsi" w:hAnsiTheme="majorHAnsi" w:cstheme="majorHAnsi"/>
          <w:b/>
          <w:i/>
          <w:u w:val="single"/>
          <w:lang w:eastAsia="es-PY"/>
        </w:rPr>
      </w:pPr>
      <w:r w:rsidRPr="00751E51">
        <w:rPr>
          <w:rFonts w:asciiTheme="majorHAnsi" w:hAnsiTheme="majorHAnsi" w:cstheme="majorHAnsi"/>
          <w:b/>
          <w:i/>
          <w:u w:val="single"/>
          <w:lang w:eastAsia="es-PY"/>
        </w:rPr>
        <w:t>Declaración Jurada de mantenimiento de oferta, para adquisiciones inferiores o hasta los Gs. 5.000.000 (guaraníes cinco millones) y;</w:t>
      </w:r>
    </w:p>
    <w:p w14:paraId="34110C5B" w14:textId="77777777" w:rsidR="00CE241A" w:rsidRPr="00751E51" w:rsidRDefault="00CE241A" w:rsidP="00775180">
      <w:pPr>
        <w:pStyle w:val="Ttulo2Car"/>
        <w:numPr>
          <w:ilvl w:val="1"/>
          <w:numId w:val="4"/>
        </w:numPr>
        <w:autoSpaceDE w:val="0"/>
        <w:autoSpaceDN w:val="0"/>
        <w:ind w:left="993" w:hanging="284"/>
        <w:contextualSpacing/>
        <w:rPr>
          <w:rFonts w:asciiTheme="majorHAnsi" w:hAnsiTheme="majorHAnsi" w:cstheme="majorHAnsi"/>
          <w:b/>
          <w:i/>
          <w:u w:val="single"/>
          <w:lang w:eastAsia="es-PY"/>
        </w:rPr>
      </w:pPr>
      <w:r w:rsidRPr="00751E51">
        <w:rPr>
          <w:rFonts w:asciiTheme="majorHAnsi" w:hAnsiTheme="majorHAnsi" w:cstheme="majorHAnsi"/>
          <w:b/>
          <w:i/>
          <w:u w:val="single"/>
          <w:lang w:eastAsia="es-PY"/>
        </w:rPr>
        <w:t>Póliza para adquisiciones superiores al monto de Gs. 5.000.000 (guaraníes cinco millones)</w:t>
      </w:r>
    </w:p>
    <w:p w14:paraId="0D13DAD9" w14:textId="77777777" w:rsidR="00CE241A" w:rsidRPr="00370012" w:rsidRDefault="00CE241A" w:rsidP="00CE241A">
      <w:pPr>
        <w:numPr>
          <w:ilvl w:val="0"/>
          <w:numId w:val="4"/>
        </w:num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La Garantía de Mantenimiento de Oferta en caso de oferentes en consorcio deberá ser presentada de la siguiente manera:</w:t>
      </w:r>
    </w:p>
    <w:p w14:paraId="4DBF7DDD" w14:textId="77777777" w:rsidR="00CE241A" w:rsidRPr="005A5FCC" w:rsidRDefault="00CE241A" w:rsidP="00CE241A">
      <w:pPr>
        <w:numPr>
          <w:ilvl w:val="1"/>
          <w:numId w:val="4"/>
        </w:numPr>
        <w:spacing w:after="0"/>
        <w:ind w:left="993" w:hanging="284"/>
        <w:jc w:val="both"/>
        <w:rPr>
          <w:rFonts w:asciiTheme="majorHAnsi" w:eastAsia="Times New Roman" w:hAnsiTheme="majorHAnsi" w:cstheme="majorHAnsi"/>
          <w:b/>
          <w:i/>
          <w:color w:val="000000"/>
          <w:u w:val="single"/>
          <w:lang w:eastAsia="es-PY"/>
        </w:rPr>
      </w:pPr>
      <w:r w:rsidRPr="005A5FCC">
        <w:rPr>
          <w:rFonts w:asciiTheme="majorHAnsi" w:eastAsia="Times New Roman" w:hAnsiTheme="majorHAnsi" w:cstheme="majorHAnsi"/>
          <w:b/>
          <w:i/>
          <w:color w:val="000000"/>
          <w:u w:val="single"/>
          <w:lang w:eastAsia="es-PY"/>
        </w:rPr>
        <w:t>Consorcio constituido por escritura pública: deberán emitir a nombre del consorcio legalmente constituido por escritura pública o del líder del consorcio.</w:t>
      </w:r>
    </w:p>
    <w:p w14:paraId="464C689E" w14:textId="77777777" w:rsidR="00CE241A" w:rsidRPr="005A5FCC" w:rsidRDefault="00CE241A" w:rsidP="00CE241A">
      <w:pPr>
        <w:numPr>
          <w:ilvl w:val="1"/>
          <w:numId w:val="4"/>
        </w:numPr>
        <w:spacing w:after="0"/>
        <w:ind w:left="993" w:hanging="284"/>
        <w:jc w:val="both"/>
        <w:rPr>
          <w:rFonts w:asciiTheme="majorHAnsi" w:eastAsia="Times New Roman" w:hAnsiTheme="majorHAnsi" w:cstheme="majorHAnsi"/>
          <w:b/>
          <w:i/>
          <w:color w:val="000000"/>
          <w:u w:val="single"/>
          <w:lang w:eastAsia="es-PY"/>
        </w:rPr>
      </w:pPr>
      <w:r w:rsidRPr="005A5FCC">
        <w:rPr>
          <w:rFonts w:asciiTheme="majorHAnsi" w:eastAsia="Times New Roman" w:hAnsiTheme="majorHAnsi" w:cstheme="majorHAnsi"/>
          <w:b/>
          <w:i/>
          <w:color w:val="000000"/>
          <w:u w:val="single"/>
          <w:lang w:eastAsia="es-PY"/>
        </w:rPr>
        <w:t>Consorcio con acuerdo de intención de participación en contrato de consorcio: deberán emitir a nombre del líder del consorcio.</w:t>
      </w:r>
    </w:p>
    <w:p w14:paraId="7C564D5C" w14:textId="77777777" w:rsidR="00CE241A" w:rsidRPr="00370012" w:rsidRDefault="00CE241A" w:rsidP="00CE241A">
      <w:pPr>
        <w:numPr>
          <w:ilvl w:val="0"/>
          <w:numId w:val="4"/>
        </w:num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La Garantía de Mantenimiento de Ofertas podrá ser ejecutada:     </w:t>
      </w:r>
    </w:p>
    <w:p w14:paraId="15E2CC11" w14:textId="77777777" w:rsidR="00CE241A" w:rsidRPr="00370012" w:rsidRDefault="00CE241A" w:rsidP="00CE241A">
      <w:pPr>
        <w:numPr>
          <w:ilvl w:val="1"/>
          <w:numId w:val="4"/>
        </w:numPr>
        <w:spacing w:after="0"/>
        <w:ind w:left="993"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Si el oferente altera las condiciones de su oferta,</w:t>
      </w:r>
    </w:p>
    <w:p w14:paraId="38BB7594" w14:textId="77777777" w:rsidR="00CE241A" w:rsidRPr="00370012" w:rsidRDefault="00CE241A" w:rsidP="00CE241A">
      <w:pPr>
        <w:numPr>
          <w:ilvl w:val="1"/>
          <w:numId w:val="4"/>
        </w:numPr>
        <w:spacing w:after="0"/>
        <w:ind w:left="993"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Si el oferente retira su oferta durante el período de validez de ofertas,</w:t>
      </w:r>
    </w:p>
    <w:p w14:paraId="0A9A7A99" w14:textId="77777777" w:rsidR="00CE241A" w:rsidRPr="00370012" w:rsidRDefault="00CE241A" w:rsidP="00CE241A">
      <w:pPr>
        <w:numPr>
          <w:ilvl w:val="1"/>
          <w:numId w:val="4"/>
        </w:numPr>
        <w:spacing w:after="0"/>
        <w:ind w:left="993"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Si no acepta la corrección aritmética del precio de su oferta, en caso de existir, o</w:t>
      </w:r>
    </w:p>
    <w:p w14:paraId="635DEC2A" w14:textId="77777777" w:rsidR="00CE241A" w:rsidRPr="00370012" w:rsidRDefault="00CE241A" w:rsidP="00CE241A">
      <w:pPr>
        <w:numPr>
          <w:ilvl w:val="1"/>
          <w:numId w:val="4"/>
        </w:numPr>
        <w:spacing w:after="0"/>
        <w:ind w:left="993"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Si el adjudicatario no procede, por causa imputable al mismo a:</w:t>
      </w:r>
    </w:p>
    <w:p w14:paraId="2539E405" w14:textId="77777777" w:rsidR="00CE241A" w:rsidRPr="00370012" w:rsidRDefault="00CE241A" w:rsidP="00CE241A">
      <w:pPr>
        <w:spacing w:after="0"/>
        <w:ind w:left="720" w:firstLine="27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lastRenderedPageBreak/>
        <w:t>d.1 Firmar el contrato,</w:t>
      </w:r>
    </w:p>
    <w:p w14:paraId="38ED68B6" w14:textId="77777777" w:rsidR="00CE241A" w:rsidRPr="00370012" w:rsidRDefault="00CE241A" w:rsidP="00CE241A">
      <w:pPr>
        <w:spacing w:after="0"/>
        <w:ind w:left="1276" w:hanging="28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d.2 Suministrar los documentos indicados en las bases de la contratación para la firma del contrato,</w:t>
      </w:r>
    </w:p>
    <w:p w14:paraId="06D6E03E" w14:textId="77777777" w:rsidR="00CE241A" w:rsidRPr="00370012" w:rsidRDefault="00CE241A" w:rsidP="00CE241A">
      <w:pPr>
        <w:spacing w:after="0"/>
        <w:ind w:left="1276" w:hanging="28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d.3 Suministrar en tiempo y forma la garantía de cumplimiento de contrato,</w:t>
      </w:r>
    </w:p>
    <w:p w14:paraId="7C6560FE" w14:textId="77777777" w:rsidR="00CE241A" w:rsidRPr="00370012" w:rsidRDefault="00CE241A" w:rsidP="00CE241A">
      <w:pPr>
        <w:spacing w:after="0"/>
        <w:ind w:left="1276" w:hanging="28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d.4 Cuando se comprobare que las declaraciones juradas presentadas por el oferente adjudicado con su oferta sean falsas,</w:t>
      </w:r>
    </w:p>
    <w:p w14:paraId="5846F27F" w14:textId="77777777" w:rsidR="00CE241A" w:rsidRPr="00370012" w:rsidRDefault="00CE241A" w:rsidP="00CE241A">
      <w:pPr>
        <w:spacing w:after="0"/>
        <w:ind w:left="1276" w:hanging="283"/>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d.5 No se formaliza el consorcio por escritura pública antes de la firma del contrato.  </w:t>
      </w:r>
    </w:p>
    <w:p w14:paraId="34D1E6A7" w14:textId="77777777" w:rsidR="00CE241A" w:rsidRPr="00370012" w:rsidRDefault="00CE241A" w:rsidP="00CE241A">
      <w:pPr>
        <w:numPr>
          <w:ilvl w:val="0"/>
          <w:numId w:val="4"/>
        </w:numPr>
        <w:spacing w:after="0"/>
        <w:jc w:val="both"/>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Las Garantías tanto de Mantenimiento de Oferta, Cumplimiento de Contrato o de Anticipo, sea cual fuere la forma de instrumentación adoptada, deberá ser pagadera ante solicitud escrita de la convocante donde se haga constar el monto reclamado, cuando se tenga acreditada una de las causales de ejecución de la garantía. En estos casos será requisito que previamente el oferente sea notificado del incumplimiento y la intimación de que se hará efectiva la ejecución del monto asegurado.</w:t>
      </w:r>
    </w:p>
    <w:p w14:paraId="738A5973" w14:textId="77777777" w:rsidR="005A4BBF" w:rsidRPr="00A9622C" w:rsidRDefault="004F38D1" w:rsidP="00A9622C">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b/>
          <w:color w:val="000000"/>
          <w:lang w:eastAsia="es-PY"/>
        </w:rPr>
      </w:pPr>
      <w:r w:rsidRPr="00A9622C">
        <w:rPr>
          <w:rFonts w:asciiTheme="majorHAnsi" w:hAnsiTheme="majorHAnsi" w:cstheme="majorHAnsi"/>
          <w:b/>
          <w:color w:val="000000"/>
          <w:lang w:eastAsia="es-PY"/>
        </w:rPr>
        <w:t>PERIODO DE VALIDEZ DE LA GARANTÍA DE MANTENIMIENTO DE OFERTA</w:t>
      </w:r>
      <w:r w:rsidRPr="00A9622C">
        <w:rPr>
          <w:rFonts w:asciiTheme="majorHAnsi" w:hAnsiTheme="majorHAnsi" w:cstheme="majorHAnsi"/>
          <w:b/>
          <w:color w:val="000000"/>
          <w:lang w:eastAsia="es-PY"/>
        </w:rPr>
        <w:tab/>
      </w:r>
      <w:r w:rsidRPr="00A9622C">
        <w:rPr>
          <w:rFonts w:asciiTheme="majorHAnsi" w:hAnsiTheme="majorHAnsi" w:cstheme="majorHAnsi"/>
          <w:b/>
          <w:color w:val="000000"/>
          <w:lang w:eastAsia="es-PY"/>
        </w:rPr>
        <w:tab/>
      </w:r>
    </w:p>
    <w:p w14:paraId="1D96873E" w14:textId="77777777" w:rsidR="005A4BBF" w:rsidRPr="00370012" w:rsidRDefault="005A4BBF" w:rsidP="00636C3A">
      <w:pPr>
        <w:spacing w:after="0"/>
        <w:jc w:val="both"/>
        <w:rPr>
          <w:rFonts w:asciiTheme="majorHAnsi" w:eastAsia="Times New Roman" w:hAnsiTheme="majorHAnsi" w:cstheme="majorHAnsi"/>
          <w:i/>
          <w:color w:val="FF0000"/>
          <w:lang w:eastAsia="es-PY"/>
        </w:rPr>
      </w:pPr>
      <w:r w:rsidRPr="00370012">
        <w:rPr>
          <w:rFonts w:asciiTheme="majorHAnsi" w:eastAsia="Times New Roman" w:hAnsiTheme="majorHAnsi" w:cstheme="majorHAnsi"/>
          <w:color w:val="000000"/>
          <w:lang w:eastAsia="es-PY"/>
        </w:rPr>
        <w:t>El plazo de validez de la Garantía de Mantenimiento de Oferta (en días calendario) será de:</w:t>
      </w:r>
      <w:r w:rsidRPr="00370012">
        <w:rPr>
          <w:rFonts w:asciiTheme="majorHAnsi" w:eastAsia="Times New Roman" w:hAnsiTheme="majorHAnsi" w:cstheme="majorHAnsi"/>
          <w:b/>
          <w:color w:val="000000"/>
          <w:lang w:eastAsia="es-PY"/>
        </w:rPr>
        <w:t> </w:t>
      </w:r>
      <w:r w:rsidR="00E70D5D" w:rsidRPr="006D36CC">
        <w:rPr>
          <w:rFonts w:asciiTheme="majorHAnsi" w:eastAsia="Times New Roman" w:hAnsiTheme="majorHAnsi" w:cstheme="majorHAnsi"/>
          <w:b/>
          <w:i/>
          <w:u w:val="single"/>
          <w:lang w:eastAsia="es-PY"/>
        </w:rPr>
        <w:t>90</w:t>
      </w:r>
      <w:r w:rsidR="008B4CAA">
        <w:rPr>
          <w:rFonts w:asciiTheme="majorHAnsi" w:eastAsia="Times New Roman" w:hAnsiTheme="majorHAnsi" w:cstheme="majorHAnsi"/>
          <w:b/>
          <w:i/>
          <w:u w:val="single"/>
          <w:lang w:eastAsia="es-PY"/>
        </w:rPr>
        <w:t xml:space="preserve"> (noventa)</w:t>
      </w:r>
      <w:r w:rsidR="00E70D5D" w:rsidRPr="006D36CC">
        <w:rPr>
          <w:rFonts w:asciiTheme="majorHAnsi" w:eastAsia="Times New Roman" w:hAnsiTheme="majorHAnsi" w:cstheme="majorHAnsi"/>
          <w:b/>
          <w:i/>
          <w:u w:val="single"/>
          <w:lang w:eastAsia="es-PY"/>
        </w:rPr>
        <w:t xml:space="preserve"> días.</w:t>
      </w:r>
      <w:r w:rsidR="00E70D5D" w:rsidRPr="005934EF">
        <w:rPr>
          <w:rFonts w:asciiTheme="majorHAnsi" w:hAnsiTheme="majorHAnsi" w:cstheme="majorHAnsi"/>
          <w:lang w:eastAsia="es-PY"/>
        </w:rPr>
        <w:t xml:space="preserve"> </w:t>
      </w:r>
      <w:r w:rsidRPr="00370012">
        <w:rPr>
          <w:rFonts w:asciiTheme="majorHAnsi" w:hAnsiTheme="majorHAnsi" w:cstheme="majorHAnsi"/>
          <w:color w:val="000000"/>
          <w:lang w:eastAsia="es-PY"/>
        </w:rPr>
        <w:t>El oferente deberá presentar como parte de su oferta una Garantía de Mantenimiento de acuerdo al porcentaje indicado para ello en el P</w:t>
      </w:r>
      <w:r w:rsidR="00275D5D" w:rsidRPr="00370012">
        <w:rPr>
          <w:rFonts w:asciiTheme="majorHAnsi" w:hAnsiTheme="majorHAnsi" w:cstheme="majorHAnsi"/>
          <w:color w:val="000000"/>
          <w:lang w:eastAsia="es-PY"/>
        </w:rPr>
        <w:t>BC</w:t>
      </w:r>
      <w:r w:rsidRPr="00370012">
        <w:rPr>
          <w:rFonts w:asciiTheme="majorHAnsi" w:hAnsiTheme="majorHAnsi" w:cstheme="majorHAnsi"/>
          <w:color w:val="000000"/>
          <w:lang w:eastAsia="es-PY"/>
        </w:rPr>
        <w:t xml:space="preserve"> y por el plazo indicado en este apartado.</w:t>
      </w:r>
    </w:p>
    <w:p w14:paraId="32CF0FBE" w14:textId="77777777" w:rsidR="00D149FC" w:rsidRPr="00DC2ECB" w:rsidRDefault="00DC2ECB" w:rsidP="00DC2ECB">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b/>
          <w:color w:val="000000"/>
          <w:lang w:eastAsia="es-PY"/>
        </w:rPr>
      </w:pPr>
      <w:r w:rsidRPr="00DC2ECB">
        <w:rPr>
          <w:rFonts w:asciiTheme="majorHAnsi" w:hAnsiTheme="majorHAnsi" w:cstheme="majorHAnsi"/>
          <w:b/>
          <w:color w:val="000000"/>
          <w:lang w:eastAsia="es-PY"/>
        </w:rPr>
        <w:t>RETIRO, SUSTITUCIÓN Y MODIFICACIÓN DE LAS OFERTAS</w:t>
      </w:r>
      <w:r w:rsidRPr="00DC2ECB">
        <w:rPr>
          <w:rFonts w:asciiTheme="majorHAnsi" w:hAnsiTheme="majorHAnsi" w:cstheme="majorHAnsi"/>
          <w:b/>
          <w:color w:val="000000"/>
          <w:lang w:eastAsia="es-PY"/>
        </w:rPr>
        <w:tab/>
      </w:r>
      <w:r w:rsidRPr="00DC2ECB">
        <w:rPr>
          <w:rFonts w:asciiTheme="majorHAnsi" w:hAnsiTheme="majorHAnsi" w:cstheme="majorHAnsi"/>
          <w:b/>
          <w:color w:val="000000"/>
          <w:lang w:eastAsia="es-PY"/>
        </w:rPr>
        <w:tab/>
      </w:r>
      <w:r w:rsidRPr="00DC2ECB">
        <w:rPr>
          <w:rFonts w:asciiTheme="majorHAnsi" w:hAnsiTheme="majorHAnsi" w:cstheme="majorHAnsi"/>
          <w:b/>
          <w:color w:val="000000"/>
          <w:lang w:eastAsia="es-PY"/>
        </w:rPr>
        <w:tab/>
      </w:r>
      <w:r w:rsidRPr="00DC2ECB">
        <w:rPr>
          <w:rFonts w:asciiTheme="majorHAnsi" w:hAnsiTheme="majorHAnsi" w:cstheme="majorHAnsi"/>
          <w:b/>
          <w:color w:val="000000"/>
          <w:lang w:eastAsia="es-PY"/>
        </w:rPr>
        <w:tab/>
      </w:r>
    </w:p>
    <w:p w14:paraId="4C9BCB08" w14:textId="77777777" w:rsidR="00D149FC" w:rsidRPr="00370012" w:rsidRDefault="00D149FC" w:rsidP="00516BE5">
      <w:pPr>
        <w:spacing w:after="0"/>
        <w:ind w:left="284"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1. Un oferente podrá retirar, sustituir o modificar su oferta después de presentada mediante el envío de una comunicación por escrito, debidamente firmada por el representante autorizado. La sustitución o modificación correspondiente de la oferta deberá acompañar dicha comunicación por escrito.            </w:t>
      </w:r>
    </w:p>
    <w:p w14:paraId="0FC8D809" w14:textId="77777777" w:rsidR="00D149FC" w:rsidRPr="00370012" w:rsidRDefault="00D149FC" w:rsidP="00516BE5">
      <w:pPr>
        <w:spacing w:after="0"/>
        <w:ind w:left="284"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2. Todas las comunicaciones deberán ser:</w:t>
      </w:r>
    </w:p>
    <w:p w14:paraId="27149ADA" w14:textId="672B683C" w:rsidR="00D149FC" w:rsidRPr="00370012" w:rsidRDefault="00D149FC" w:rsidP="00516BE5">
      <w:pPr>
        <w:spacing w:after="0"/>
        <w:ind w:left="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a) Presentadas conforme a la forma de presentación e identificación de las ofertas y además los respectivos sobres deberán estar marcados </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RETIRO</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 xml:space="preserve">, </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SUSTITUCION</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 xml:space="preserve"> o </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MODIFICACION</w:t>
      </w:r>
      <w:r w:rsidR="00815445">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w:t>
      </w:r>
    </w:p>
    <w:p w14:paraId="5C855EE8" w14:textId="77777777" w:rsidR="00D149FC" w:rsidRPr="00370012" w:rsidRDefault="00D149FC" w:rsidP="00516BE5">
      <w:pPr>
        <w:spacing w:after="0"/>
        <w:ind w:left="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b) Recibidas por la convocante antes del plazo límite establecido para la presentación de las ofertas;</w:t>
      </w:r>
    </w:p>
    <w:p w14:paraId="0396CF97" w14:textId="77777777" w:rsidR="00D149FC" w:rsidRPr="00370012" w:rsidRDefault="00D149FC" w:rsidP="00516BE5">
      <w:pPr>
        <w:spacing w:after="0"/>
        <w:ind w:left="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Las ofertas cuyo retiro, sustitución o modificación fuere solicitada serán devueltas sin abrir a los oferentes remitentes, durante el acto de apertura de ofertas.</w:t>
      </w:r>
    </w:p>
    <w:p w14:paraId="4BA67725" w14:textId="77777777" w:rsidR="00D149FC" w:rsidRPr="00370012" w:rsidRDefault="00D149FC" w:rsidP="00516BE5">
      <w:pPr>
        <w:spacing w:after="0"/>
        <w:ind w:left="284" w:hanging="284"/>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3. Ninguna oferta podrá ser retirada, sustituida o modificada durante el intervalo comprendido entre la fecha límite para presentar ofertas y la expiración del período de validez de las ofertas indicado en el Formulario de Oferta o cualquier extensión si la hubiere, caso contrario, se hará efectiva la Garantía de Mantenimiento de Oferta.</w:t>
      </w:r>
    </w:p>
    <w:p w14:paraId="4C35B57C" w14:textId="77777777" w:rsidR="00D149FC" w:rsidRPr="005934EF" w:rsidRDefault="00370E24" w:rsidP="005934EF">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b/>
          <w:color w:val="000000"/>
          <w:lang w:eastAsia="es-PY"/>
        </w:rPr>
      </w:pPr>
      <w:r w:rsidRPr="005934EF">
        <w:rPr>
          <w:rFonts w:asciiTheme="majorHAnsi" w:hAnsiTheme="majorHAnsi" w:cstheme="majorHAnsi"/>
          <w:b/>
          <w:color w:val="000000"/>
          <w:lang w:eastAsia="es-PY"/>
        </w:rPr>
        <w:t>APERTURA DE OFERTAS</w:t>
      </w:r>
      <w:r w:rsidRPr="005934EF">
        <w:rPr>
          <w:rFonts w:asciiTheme="majorHAnsi" w:hAnsiTheme="majorHAnsi" w:cstheme="majorHAnsi"/>
          <w:b/>
          <w:color w:val="000000"/>
          <w:lang w:eastAsia="es-PY"/>
        </w:rPr>
        <w:tab/>
      </w:r>
      <w:r w:rsidRPr="005934EF">
        <w:rPr>
          <w:rFonts w:asciiTheme="majorHAnsi" w:hAnsiTheme="majorHAnsi" w:cstheme="majorHAnsi"/>
          <w:b/>
          <w:color w:val="000000"/>
          <w:lang w:eastAsia="es-PY"/>
        </w:rPr>
        <w:tab/>
      </w:r>
      <w:r w:rsidRPr="005934EF">
        <w:rPr>
          <w:rFonts w:asciiTheme="majorHAnsi" w:hAnsiTheme="majorHAnsi" w:cstheme="majorHAnsi"/>
          <w:b/>
          <w:color w:val="000000"/>
          <w:lang w:eastAsia="es-PY"/>
        </w:rPr>
        <w:tab/>
      </w:r>
      <w:r w:rsidRPr="005934EF">
        <w:rPr>
          <w:rFonts w:asciiTheme="majorHAnsi" w:hAnsiTheme="majorHAnsi" w:cstheme="majorHAnsi"/>
          <w:b/>
          <w:color w:val="000000"/>
          <w:lang w:eastAsia="es-PY"/>
        </w:rPr>
        <w:tab/>
      </w:r>
      <w:r w:rsidRPr="005934EF">
        <w:rPr>
          <w:rFonts w:asciiTheme="majorHAnsi" w:hAnsiTheme="majorHAnsi" w:cstheme="majorHAnsi"/>
          <w:b/>
          <w:color w:val="000000"/>
          <w:lang w:eastAsia="es-PY"/>
        </w:rPr>
        <w:tab/>
      </w:r>
    </w:p>
    <w:p w14:paraId="4380373B" w14:textId="77777777" w:rsidR="00D149FC" w:rsidRPr="00370012" w:rsidRDefault="00D149FC" w:rsidP="003A27A4">
      <w:pPr>
        <w:pStyle w:val="Ttulo2Car"/>
        <w:ind w:left="284" w:hanging="284"/>
        <w:rPr>
          <w:rFonts w:asciiTheme="majorHAnsi" w:hAnsiTheme="majorHAnsi" w:cstheme="majorHAnsi"/>
          <w:color w:val="000000"/>
          <w:lang w:eastAsia="es-PY"/>
        </w:rPr>
      </w:pPr>
      <w:r w:rsidRPr="00370012">
        <w:rPr>
          <w:rFonts w:asciiTheme="majorHAnsi" w:hAnsiTheme="majorHAnsi" w:cstheme="majorHAnsi"/>
          <w:color w:val="000000"/>
          <w:lang w:eastAsia="es-PY"/>
        </w:rPr>
        <w:t>1.</w:t>
      </w:r>
      <w:r w:rsidR="00E33393" w:rsidRPr="00370012">
        <w:rPr>
          <w:rFonts w:asciiTheme="majorHAnsi" w:hAnsiTheme="majorHAnsi" w:cstheme="majorHAnsi"/>
          <w:color w:val="000000"/>
          <w:lang w:eastAsia="es-PY"/>
        </w:rPr>
        <w:t xml:space="preserve"> </w:t>
      </w:r>
      <w:r w:rsidRPr="00370012">
        <w:rPr>
          <w:rFonts w:asciiTheme="majorHAnsi" w:hAnsiTheme="majorHAnsi" w:cstheme="majorHAnsi"/>
          <w:color w:val="000000"/>
          <w:lang w:eastAsia="es-PY"/>
        </w:rPr>
        <w:t>La entidad convocante procederá a la apertura de las ofertas y, en caso de existir notificaciones de retiro, sustitución o modificación de las propuestas, se leerá durante el acto público en presencia de los oferentes o sus representantes según la hora, fecha y lugar previamente establecidos en el P</w:t>
      </w:r>
      <w:r w:rsidR="00E33393" w:rsidRPr="00370012">
        <w:rPr>
          <w:rFonts w:asciiTheme="majorHAnsi" w:hAnsiTheme="majorHAnsi" w:cstheme="majorHAnsi"/>
          <w:color w:val="000000"/>
          <w:lang w:eastAsia="es-PY"/>
        </w:rPr>
        <w:t>BC</w:t>
      </w:r>
      <w:r w:rsidRPr="00370012">
        <w:rPr>
          <w:rFonts w:asciiTheme="majorHAnsi" w:hAnsiTheme="majorHAnsi" w:cstheme="majorHAnsi"/>
          <w:color w:val="000000"/>
          <w:lang w:eastAsia="es-PY"/>
        </w:rPr>
        <w:t>.</w:t>
      </w:r>
    </w:p>
    <w:p w14:paraId="28D39C77" w14:textId="77777777" w:rsidR="00D149FC" w:rsidRPr="00370012" w:rsidRDefault="00D149FC" w:rsidP="003A27A4">
      <w:pPr>
        <w:pStyle w:val="Ttulo2Car"/>
        <w:ind w:left="284" w:hanging="284"/>
        <w:rPr>
          <w:rFonts w:asciiTheme="majorHAnsi" w:hAnsiTheme="majorHAnsi" w:cstheme="majorHAnsi"/>
          <w:color w:val="000000"/>
          <w:lang w:eastAsia="es-PY"/>
        </w:rPr>
      </w:pPr>
      <w:r w:rsidRPr="00370012">
        <w:rPr>
          <w:rFonts w:asciiTheme="majorHAnsi" w:hAnsiTheme="majorHAnsi" w:cstheme="majorHAnsi"/>
          <w:color w:val="000000"/>
          <w:lang w:eastAsia="es-PY"/>
        </w:rPr>
        <w:t>2.</w:t>
      </w:r>
      <w:r w:rsidR="00E33393" w:rsidRPr="00370012">
        <w:rPr>
          <w:rFonts w:asciiTheme="majorHAnsi" w:hAnsiTheme="majorHAnsi" w:cstheme="majorHAnsi"/>
          <w:color w:val="000000"/>
          <w:lang w:eastAsia="es-PY"/>
        </w:rPr>
        <w:t xml:space="preserve"> </w:t>
      </w:r>
      <w:r w:rsidRPr="00370012">
        <w:rPr>
          <w:rFonts w:asciiTheme="majorHAnsi" w:hAnsiTheme="majorHAnsi" w:cstheme="majorHAnsi"/>
          <w:color w:val="000000"/>
          <w:lang w:eastAsia="es-PY"/>
        </w:rPr>
        <w:t xml:space="preserve"> Primero se procederá a verificar los sobres de las ofertas recibidas, marcados como:</w:t>
      </w:r>
    </w:p>
    <w:p w14:paraId="59264663" w14:textId="53072E93" w:rsidR="00D149FC" w:rsidRPr="00370012" w:rsidRDefault="00D149FC" w:rsidP="003A27A4">
      <w:pPr>
        <w:pStyle w:val="Ttulo2Car"/>
        <w:ind w:left="284" w:hanging="284"/>
        <w:rPr>
          <w:rFonts w:asciiTheme="majorHAnsi" w:hAnsiTheme="majorHAnsi" w:cstheme="majorHAnsi"/>
          <w:color w:val="000000"/>
          <w:lang w:eastAsia="es-PY"/>
        </w:rPr>
      </w:pPr>
      <w:r w:rsidRPr="00370012">
        <w:rPr>
          <w:rFonts w:asciiTheme="majorHAnsi" w:hAnsiTheme="majorHAnsi" w:cstheme="majorHAnsi"/>
          <w:color w:val="000000"/>
          <w:lang w:eastAsia="es-PY"/>
        </w:rPr>
        <w:t xml:space="preserve">a) </w:t>
      </w:r>
      <w:r w:rsidR="00815445">
        <w:rPr>
          <w:rFonts w:asciiTheme="majorHAnsi" w:hAnsiTheme="majorHAnsi" w:cstheme="majorHAnsi"/>
          <w:color w:val="000000"/>
          <w:lang w:eastAsia="es-PY"/>
        </w:rPr>
        <w:t>“</w:t>
      </w:r>
      <w:r w:rsidRPr="00370012">
        <w:rPr>
          <w:rFonts w:asciiTheme="majorHAnsi" w:hAnsiTheme="majorHAnsi" w:cstheme="majorHAnsi"/>
          <w:color w:val="000000"/>
          <w:lang w:eastAsia="es-PY"/>
        </w:rPr>
        <w:t>RETIRO</w:t>
      </w:r>
      <w:r w:rsidR="00815445">
        <w:rPr>
          <w:rFonts w:asciiTheme="majorHAnsi" w:hAnsiTheme="majorHAnsi" w:cstheme="majorHAnsi"/>
          <w:color w:val="000000"/>
          <w:lang w:eastAsia="es-PY"/>
        </w:rPr>
        <w:t>”</w:t>
      </w:r>
      <w:r w:rsidRPr="00370012">
        <w:rPr>
          <w:rFonts w:asciiTheme="majorHAnsi" w:hAnsiTheme="majorHAnsi" w:cstheme="majorHAnsi"/>
          <w:color w:val="000000"/>
          <w:lang w:eastAsia="es-PY"/>
        </w:rPr>
        <w:t>: Se leerán en voz alta y el sobre con la oferta correspondiente no será abierto sino devuelto al oferente remitente. No se permitirá el retiro de ninguna oferta a menos que la comunicación de retiro contenga una autorización válida y sea leída en voz alta en el acto de apertura de las ofertas.</w:t>
      </w:r>
    </w:p>
    <w:p w14:paraId="2C6736E8" w14:textId="09847DF0" w:rsidR="00D149FC" w:rsidRPr="00370012" w:rsidRDefault="00D149FC" w:rsidP="003A27A4">
      <w:pPr>
        <w:pStyle w:val="Ttulo2Car"/>
        <w:ind w:left="284" w:hanging="284"/>
        <w:rPr>
          <w:rFonts w:asciiTheme="majorHAnsi" w:hAnsiTheme="majorHAnsi" w:cstheme="majorHAnsi"/>
          <w:color w:val="000000"/>
          <w:lang w:eastAsia="es-PY"/>
        </w:rPr>
      </w:pPr>
      <w:r w:rsidRPr="00370012">
        <w:rPr>
          <w:rFonts w:asciiTheme="majorHAnsi" w:hAnsiTheme="majorHAnsi" w:cstheme="majorHAnsi"/>
          <w:color w:val="000000"/>
          <w:lang w:eastAsia="es-PY"/>
        </w:rPr>
        <w:t xml:space="preserve">b) </w:t>
      </w:r>
      <w:r w:rsidR="00815445">
        <w:rPr>
          <w:rFonts w:asciiTheme="majorHAnsi" w:hAnsiTheme="majorHAnsi" w:cstheme="majorHAnsi"/>
          <w:color w:val="000000"/>
          <w:lang w:eastAsia="es-PY"/>
        </w:rPr>
        <w:t>“</w:t>
      </w:r>
      <w:r w:rsidRPr="00370012">
        <w:rPr>
          <w:rFonts w:asciiTheme="majorHAnsi" w:hAnsiTheme="majorHAnsi" w:cstheme="majorHAnsi"/>
          <w:color w:val="000000"/>
          <w:lang w:eastAsia="es-PY"/>
        </w:rPr>
        <w:t>SUSTITUCION</w:t>
      </w:r>
      <w:r w:rsidR="00815445">
        <w:rPr>
          <w:rFonts w:asciiTheme="majorHAnsi" w:hAnsiTheme="majorHAnsi" w:cstheme="majorHAnsi"/>
          <w:color w:val="000000"/>
          <w:lang w:eastAsia="es-PY"/>
        </w:rPr>
        <w:t>”</w:t>
      </w:r>
      <w:r w:rsidRPr="00370012">
        <w:rPr>
          <w:rFonts w:asciiTheme="majorHAnsi" w:hAnsiTheme="majorHAnsi" w:cstheme="majorHAnsi"/>
          <w:color w:val="000000"/>
          <w:lang w:eastAsia="es-PY"/>
        </w:rPr>
        <w:t xml:space="preserve">: Se leerán en voz alta y se intercambiará con la oferta correspondiente que está siendo sustituida; la oferta sustituida no se abrirá y se devolverá al oferente remitente. No se </w:t>
      </w:r>
      <w:r w:rsidRPr="00370012">
        <w:rPr>
          <w:rFonts w:asciiTheme="majorHAnsi" w:hAnsiTheme="majorHAnsi" w:cstheme="majorHAnsi"/>
          <w:color w:val="000000"/>
          <w:lang w:eastAsia="es-PY"/>
        </w:rPr>
        <w:lastRenderedPageBreak/>
        <w:t xml:space="preserve">permitirá la sustitución de ninguna oferta a menos que la comunicación de sustitución contenga una autorización válida y sea leída en voz alta en el acto de apertura de las ofertas.  </w:t>
      </w:r>
    </w:p>
    <w:p w14:paraId="0EB22E30" w14:textId="68004154" w:rsidR="00D149FC" w:rsidRPr="00370012" w:rsidRDefault="00D149FC" w:rsidP="003A27A4">
      <w:pPr>
        <w:pStyle w:val="Ttulo2Car"/>
        <w:ind w:left="284" w:hanging="284"/>
        <w:rPr>
          <w:rFonts w:asciiTheme="majorHAnsi" w:hAnsiTheme="majorHAnsi" w:cstheme="majorHAnsi"/>
          <w:color w:val="000000"/>
          <w:lang w:eastAsia="es-PY"/>
        </w:rPr>
      </w:pPr>
      <w:r w:rsidRPr="00370012">
        <w:rPr>
          <w:rFonts w:asciiTheme="majorHAnsi" w:hAnsiTheme="majorHAnsi" w:cstheme="majorHAnsi"/>
          <w:color w:val="000000"/>
          <w:lang w:eastAsia="es-PY"/>
        </w:rPr>
        <w:t xml:space="preserve">c) </w:t>
      </w:r>
      <w:r w:rsidR="00815445">
        <w:rPr>
          <w:rFonts w:asciiTheme="majorHAnsi" w:hAnsiTheme="majorHAnsi" w:cstheme="majorHAnsi"/>
          <w:color w:val="000000"/>
          <w:lang w:eastAsia="es-PY"/>
        </w:rPr>
        <w:t>“</w:t>
      </w:r>
      <w:r w:rsidRPr="00370012">
        <w:rPr>
          <w:rFonts w:asciiTheme="majorHAnsi" w:hAnsiTheme="majorHAnsi" w:cstheme="majorHAnsi"/>
          <w:color w:val="000000"/>
          <w:lang w:eastAsia="es-PY"/>
        </w:rPr>
        <w:t>MODIFICACION</w:t>
      </w:r>
      <w:r w:rsidR="00815445">
        <w:rPr>
          <w:rFonts w:asciiTheme="majorHAnsi" w:hAnsiTheme="majorHAnsi" w:cstheme="majorHAnsi"/>
          <w:color w:val="000000"/>
          <w:lang w:eastAsia="es-PY"/>
        </w:rPr>
        <w:t>”</w:t>
      </w:r>
      <w:r w:rsidRPr="00370012">
        <w:rPr>
          <w:rFonts w:asciiTheme="majorHAnsi" w:hAnsiTheme="majorHAnsi" w:cstheme="majorHAnsi"/>
          <w:color w:val="000000"/>
          <w:lang w:eastAsia="es-PY"/>
        </w:rPr>
        <w:t>: Se abrirán y leerán en voz alta con la oferta correspondiente. No se permitirá ninguna modificación a las ofertas a menos que la comunicación de modificación contenga una autorización válida y sea leída en voz alta en el acto de apertura de las ofertas. Solamente se considerarán en la evaluación los sobres que se abren y leen en voz alta durante el Acto de Apertura de las Ofertas.</w:t>
      </w:r>
    </w:p>
    <w:p w14:paraId="64A29AFC" w14:textId="77777777" w:rsidR="00D149FC" w:rsidRPr="00370012" w:rsidRDefault="00C74A95" w:rsidP="003A27A4">
      <w:pPr>
        <w:pStyle w:val="Ttulo2Car"/>
        <w:ind w:left="284" w:hanging="284"/>
        <w:rPr>
          <w:rFonts w:asciiTheme="majorHAnsi" w:hAnsiTheme="majorHAnsi" w:cstheme="majorHAnsi"/>
          <w:color w:val="000000"/>
          <w:lang w:eastAsia="es-PY"/>
        </w:rPr>
      </w:pPr>
      <w:r>
        <w:rPr>
          <w:rFonts w:asciiTheme="majorHAnsi" w:hAnsiTheme="majorHAnsi" w:cstheme="majorHAnsi"/>
          <w:color w:val="000000"/>
          <w:lang w:eastAsia="es-PY"/>
        </w:rPr>
        <w:t>3</w:t>
      </w:r>
      <w:r w:rsidR="00D149FC" w:rsidRPr="00370012">
        <w:rPr>
          <w:rFonts w:asciiTheme="majorHAnsi" w:hAnsiTheme="majorHAnsi" w:cstheme="majorHAnsi"/>
          <w:color w:val="000000"/>
          <w:lang w:eastAsia="es-PY"/>
        </w:rPr>
        <w:t>. Los representantes de los oferentes que participen en la apertura de las ofertas deberán contar con autorización suficiente para suscribir el acta y para revisar los documentos de los demás oferentes, bastando para ello la presentación de una autorización escrita del firmante de la oferta, esta autorización podrá ser incluida en el sobre oferta o ser portada por el representante.</w:t>
      </w:r>
    </w:p>
    <w:p w14:paraId="4D20B48D" w14:textId="77777777" w:rsidR="00D149FC" w:rsidRPr="00370012" w:rsidRDefault="00C74A95" w:rsidP="003A27A4">
      <w:pPr>
        <w:pStyle w:val="Ttulo2Car"/>
        <w:ind w:left="284" w:hanging="284"/>
        <w:rPr>
          <w:rFonts w:asciiTheme="majorHAnsi" w:hAnsiTheme="majorHAnsi" w:cstheme="majorHAnsi"/>
          <w:color w:val="000000"/>
          <w:lang w:eastAsia="es-PY"/>
        </w:rPr>
      </w:pPr>
      <w:r>
        <w:rPr>
          <w:rFonts w:asciiTheme="majorHAnsi" w:hAnsiTheme="majorHAnsi" w:cstheme="majorHAnsi"/>
          <w:color w:val="000000"/>
          <w:lang w:eastAsia="es-PY"/>
        </w:rPr>
        <w:t>4</w:t>
      </w:r>
      <w:r w:rsidR="00D149FC" w:rsidRPr="00370012">
        <w:rPr>
          <w:rFonts w:asciiTheme="majorHAnsi" w:hAnsiTheme="majorHAnsi" w:cstheme="majorHAnsi"/>
          <w:color w:val="000000"/>
          <w:lang w:eastAsia="es-PY"/>
        </w:rPr>
        <w:t>. Se solicitará a los representantes de los oferentes presentes que firmen el acta. La omisión de la firma por parte de un oferente no invalida el contenido y efecto del acta. Se distribuirá una copia del acta a todos los presentes.</w:t>
      </w:r>
    </w:p>
    <w:p w14:paraId="7ABB5A7D" w14:textId="77777777" w:rsidR="00D149FC" w:rsidRPr="00370012" w:rsidRDefault="00C74A95" w:rsidP="003A27A4">
      <w:pPr>
        <w:pStyle w:val="Ttulo2Car"/>
        <w:ind w:left="284" w:hanging="284"/>
        <w:rPr>
          <w:rFonts w:asciiTheme="majorHAnsi" w:hAnsiTheme="majorHAnsi" w:cstheme="majorHAnsi"/>
          <w:color w:val="000000"/>
          <w:lang w:eastAsia="es-PY"/>
        </w:rPr>
      </w:pPr>
      <w:r>
        <w:rPr>
          <w:rFonts w:asciiTheme="majorHAnsi" w:hAnsiTheme="majorHAnsi" w:cstheme="majorHAnsi"/>
          <w:color w:val="000000"/>
          <w:lang w:eastAsia="es-PY"/>
        </w:rPr>
        <w:t>5</w:t>
      </w:r>
      <w:r w:rsidR="00D149FC" w:rsidRPr="00370012">
        <w:rPr>
          <w:rFonts w:asciiTheme="majorHAnsi" w:hAnsiTheme="majorHAnsi" w:cstheme="majorHAnsi"/>
          <w:color w:val="000000"/>
          <w:lang w:eastAsia="es-PY"/>
        </w:rPr>
        <w:t>. Las ofertas sustituidas y modificadas, que no sean abiertas y leídas en voz alta durante el acto de apertura no podrán ser consideradas para la evaluación sin importar las circunstancias y serán devueltas sin abrir a los remitentes.</w:t>
      </w:r>
    </w:p>
    <w:p w14:paraId="008B6261" w14:textId="77777777" w:rsidR="00D149FC" w:rsidRPr="00370012" w:rsidRDefault="00C74A95" w:rsidP="003A27A4">
      <w:pPr>
        <w:pStyle w:val="Ttulo2Car"/>
        <w:ind w:left="284" w:hanging="284"/>
        <w:rPr>
          <w:rFonts w:asciiTheme="majorHAnsi" w:hAnsiTheme="majorHAnsi" w:cstheme="majorHAnsi"/>
          <w:color w:val="000000"/>
          <w:lang w:eastAsia="es-PY"/>
        </w:rPr>
      </w:pPr>
      <w:r>
        <w:rPr>
          <w:rFonts w:asciiTheme="majorHAnsi" w:hAnsiTheme="majorHAnsi" w:cstheme="majorHAnsi"/>
          <w:color w:val="000000"/>
          <w:lang w:eastAsia="es-PY"/>
        </w:rPr>
        <w:t>6</w:t>
      </w:r>
      <w:r w:rsidR="00D149FC" w:rsidRPr="00370012">
        <w:rPr>
          <w:rFonts w:asciiTheme="majorHAnsi" w:hAnsiTheme="majorHAnsi" w:cstheme="majorHAnsi"/>
          <w:color w:val="000000"/>
          <w:lang w:eastAsia="es-PY"/>
        </w:rPr>
        <w:t xml:space="preserve">. La falta de firma en un documento sustancial, es considerada una omisión sustancial que no podrá ser subsanada en ninguna oportunidad una vez abiertas las ofertas. En cuanto a la garantía de mantenimiento de oferta deberá estar debidamente extendida. </w:t>
      </w:r>
    </w:p>
    <w:p w14:paraId="7E49C52D" w14:textId="77777777" w:rsidR="00D149FC" w:rsidRDefault="00C74A95" w:rsidP="00EF2DB3">
      <w:pPr>
        <w:pStyle w:val="Ttulo2Car"/>
        <w:spacing w:after="240"/>
        <w:ind w:left="284" w:hanging="284"/>
        <w:rPr>
          <w:rFonts w:asciiTheme="majorHAnsi" w:hAnsiTheme="majorHAnsi" w:cstheme="majorHAnsi"/>
          <w:color w:val="000000"/>
          <w:lang w:eastAsia="es-PY"/>
        </w:rPr>
      </w:pPr>
      <w:r>
        <w:rPr>
          <w:rFonts w:asciiTheme="majorHAnsi" w:hAnsiTheme="majorHAnsi" w:cstheme="majorHAnsi"/>
          <w:color w:val="000000"/>
          <w:lang w:eastAsia="es-PY"/>
        </w:rPr>
        <w:t>7</w:t>
      </w:r>
      <w:r w:rsidR="00D149FC" w:rsidRPr="00370012">
        <w:rPr>
          <w:rFonts w:asciiTheme="majorHAnsi" w:hAnsiTheme="majorHAnsi" w:cstheme="majorHAnsi"/>
          <w:color w:val="000000"/>
          <w:lang w:eastAsia="es-PY"/>
        </w:rPr>
        <w:t xml:space="preserve">. </w:t>
      </w:r>
      <w:r w:rsidR="00056CA2" w:rsidRPr="00370012">
        <w:rPr>
          <w:rFonts w:asciiTheme="majorHAnsi" w:hAnsiTheme="majorHAnsi" w:cstheme="majorHAnsi"/>
          <w:color w:val="000000"/>
          <w:lang w:eastAsia="es-PY"/>
        </w:rPr>
        <w:t xml:space="preserve">El </w:t>
      </w:r>
      <w:r w:rsidR="00D149FC" w:rsidRPr="00370012">
        <w:rPr>
          <w:rFonts w:asciiTheme="majorHAnsi" w:hAnsiTheme="majorHAnsi" w:cstheme="majorHAnsi"/>
          <w:color w:val="000000"/>
          <w:lang w:eastAsia="es-PY"/>
        </w:rPr>
        <w:t>acta de apertura deberá ser comunicada a través de</w:t>
      </w:r>
      <w:r w:rsidR="00056CA2" w:rsidRPr="00370012">
        <w:rPr>
          <w:rFonts w:asciiTheme="majorHAnsi" w:hAnsiTheme="majorHAnsi" w:cstheme="majorHAnsi"/>
          <w:color w:val="000000"/>
          <w:lang w:eastAsia="es-PY"/>
        </w:rPr>
        <w:t xml:space="preserve"> </w:t>
      </w:r>
      <w:r w:rsidR="00D149FC" w:rsidRPr="00370012">
        <w:rPr>
          <w:rFonts w:asciiTheme="majorHAnsi" w:hAnsiTheme="majorHAnsi" w:cstheme="majorHAnsi"/>
          <w:color w:val="000000"/>
          <w:lang w:eastAsia="es-PY"/>
        </w:rPr>
        <w:t>l</w:t>
      </w:r>
      <w:r w:rsidR="00056CA2" w:rsidRPr="00370012">
        <w:rPr>
          <w:rFonts w:asciiTheme="majorHAnsi" w:hAnsiTheme="majorHAnsi" w:cstheme="majorHAnsi"/>
          <w:color w:val="000000"/>
          <w:lang w:eastAsia="es-PY"/>
        </w:rPr>
        <w:t xml:space="preserve">a </w:t>
      </w:r>
      <w:r w:rsidR="00056CA2" w:rsidRPr="002B10FC">
        <w:rPr>
          <w:rFonts w:asciiTheme="majorHAnsi" w:hAnsiTheme="majorHAnsi" w:cstheme="majorHAnsi"/>
          <w:b/>
          <w:i/>
          <w:u w:val="single"/>
          <w:lang w:eastAsia="es-PY"/>
        </w:rPr>
        <w:t>página web</w:t>
      </w:r>
      <w:r w:rsidR="00D149FC" w:rsidRPr="002B10FC">
        <w:rPr>
          <w:rFonts w:asciiTheme="majorHAnsi" w:hAnsiTheme="majorHAnsi" w:cstheme="majorHAnsi"/>
          <w:b/>
          <w:i/>
          <w:u w:val="single"/>
          <w:lang w:eastAsia="es-PY"/>
        </w:rPr>
        <w:t xml:space="preserve"> </w:t>
      </w:r>
      <w:r w:rsidR="00056CA2" w:rsidRPr="002B10FC">
        <w:rPr>
          <w:rFonts w:asciiTheme="majorHAnsi" w:hAnsiTheme="majorHAnsi" w:cstheme="majorHAnsi"/>
          <w:b/>
          <w:i/>
          <w:u w:val="single"/>
          <w:lang w:eastAsia="es-PY"/>
        </w:rPr>
        <w:t>institucional</w:t>
      </w:r>
      <w:r w:rsidR="00D149FC" w:rsidRPr="002B10FC">
        <w:rPr>
          <w:rFonts w:asciiTheme="majorHAnsi" w:hAnsiTheme="majorHAnsi" w:cstheme="majorHAnsi"/>
          <w:lang w:eastAsia="es-PY"/>
        </w:rPr>
        <w:t xml:space="preserve"> </w:t>
      </w:r>
      <w:r w:rsidR="00D149FC" w:rsidRPr="00370012">
        <w:rPr>
          <w:rFonts w:asciiTheme="majorHAnsi" w:hAnsiTheme="majorHAnsi" w:cstheme="majorHAnsi"/>
          <w:color w:val="000000"/>
          <w:lang w:eastAsia="es-PY"/>
        </w:rPr>
        <w:t xml:space="preserve">para su difusión, dentro de los </w:t>
      </w:r>
      <w:r w:rsidR="00837DAB" w:rsidRPr="00837DAB">
        <w:rPr>
          <w:rFonts w:asciiTheme="majorHAnsi" w:hAnsiTheme="majorHAnsi" w:cstheme="majorHAnsi"/>
          <w:b/>
          <w:color w:val="000000"/>
          <w:lang w:eastAsia="es-PY"/>
        </w:rPr>
        <w:t>2</w:t>
      </w:r>
      <w:r>
        <w:rPr>
          <w:rFonts w:asciiTheme="majorHAnsi" w:hAnsiTheme="majorHAnsi" w:cstheme="majorHAnsi"/>
          <w:b/>
          <w:i/>
          <w:u w:val="single"/>
          <w:lang w:eastAsia="es-PY"/>
        </w:rPr>
        <w:t xml:space="preserve"> (dos)</w:t>
      </w:r>
      <w:r w:rsidR="00D149FC" w:rsidRPr="002B10FC">
        <w:rPr>
          <w:rFonts w:asciiTheme="majorHAnsi" w:hAnsiTheme="majorHAnsi" w:cstheme="majorHAnsi"/>
          <w:b/>
          <w:i/>
          <w:u w:val="single"/>
          <w:lang w:eastAsia="es-PY"/>
        </w:rPr>
        <w:t xml:space="preserve"> días hábiles</w:t>
      </w:r>
      <w:r w:rsidR="00D149FC" w:rsidRPr="002B10FC">
        <w:rPr>
          <w:rFonts w:asciiTheme="majorHAnsi" w:hAnsiTheme="majorHAnsi" w:cstheme="majorHAnsi"/>
          <w:lang w:eastAsia="es-PY"/>
        </w:rPr>
        <w:t xml:space="preserve"> </w:t>
      </w:r>
      <w:r w:rsidR="00D149FC" w:rsidRPr="00370012">
        <w:rPr>
          <w:rFonts w:asciiTheme="majorHAnsi" w:hAnsiTheme="majorHAnsi" w:cstheme="majorHAnsi"/>
          <w:color w:val="000000"/>
          <w:lang w:eastAsia="es-PY"/>
        </w:rPr>
        <w:t>de la realización del acto de apertura.</w:t>
      </w:r>
    </w:p>
    <w:p w14:paraId="082BC1E4" w14:textId="6D820DEE" w:rsidR="005A5DE2" w:rsidRPr="00D9587F" w:rsidRDefault="00891A98" w:rsidP="00D9587F">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b/>
          <w:color w:val="000000"/>
          <w:lang w:eastAsia="es-PY"/>
        </w:rPr>
      </w:pPr>
      <w:r>
        <w:rPr>
          <w:rFonts w:asciiTheme="majorHAnsi" w:hAnsiTheme="majorHAnsi" w:cstheme="majorHAnsi"/>
          <w:b/>
          <w:color w:val="000000"/>
          <w:lang w:eastAsia="es-PY"/>
        </w:rPr>
        <w:t>A</w:t>
      </w:r>
      <w:r w:rsidR="00D9587F" w:rsidRPr="00D9587F">
        <w:rPr>
          <w:rFonts w:asciiTheme="majorHAnsi" w:hAnsiTheme="majorHAnsi" w:cstheme="majorHAnsi"/>
          <w:b/>
          <w:color w:val="000000"/>
          <w:lang w:eastAsia="es-PY"/>
        </w:rPr>
        <w:t>UTORIZACIÓN DEL FABRICANTE</w:t>
      </w:r>
      <w:r w:rsidR="00D9587F" w:rsidRPr="00D9587F">
        <w:rPr>
          <w:rFonts w:asciiTheme="majorHAnsi" w:hAnsiTheme="majorHAnsi" w:cstheme="majorHAnsi"/>
          <w:b/>
          <w:color w:val="000000"/>
          <w:lang w:eastAsia="es-PY"/>
        </w:rPr>
        <w:tab/>
      </w:r>
      <w:r w:rsidR="00D9587F" w:rsidRPr="00D9587F">
        <w:rPr>
          <w:rFonts w:asciiTheme="majorHAnsi" w:hAnsiTheme="majorHAnsi" w:cstheme="majorHAnsi"/>
          <w:b/>
          <w:color w:val="000000"/>
          <w:lang w:eastAsia="es-PY"/>
        </w:rPr>
        <w:tab/>
      </w:r>
      <w:r w:rsidR="00D9587F" w:rsidRPr="00D9587F">
        <w:rPr>
          <w:rFonts w:asciiTheme="majorHAnsi" w:hAnsiTheme="majorHAnsi" w:cstheme="majorHAnsi"/>
          <w:b/>
          <w:color w:val="000000"/>
          <w:lang w:eastAsia="es-PY"/>
        </w:rPr>
        <w:tab/>
      </w:r>
      <w:r w:rsidR="00D9587F" w:rsidRPr="00D9587F">
        <w:rPr>
          <w:rFonts w:asciiTheme="majorHAnsi" w:hAnsiTheme="majorHAnsi" w:cstheme="majorHAnsi"/>
          <w:b/>
          <w:color w:val="000000"/>
          <w:lang w:eastAsia="es-PY"/>
        </w:rPr>
        <w:tab/>
      </w:r>
      <w:r w:rsidR="00D9587F" w:rsidRPr="00D9587F">
        <w:rPr>
          <w:rFonts w:asciiTheme="majorHAnsi" w:hAnsiTheme="majorHAnsi" w:cstheme="majorHAnsi"/>
          <w:b/>
          <w:color w:val="000000"/>
          <w:lang w:eastAsia="es-PY"/>
        </w:rPr>
        <w:tab/>
      </w:r>
    </w:p>
    <w:p w14:paraId="11B9F1DE" w14:textId="5EB859C1" w:rsidR="00EB296E" w:rsidRPr="00D975BC" w:rsidRDefault="005A5DE2" w:rsidP="00636C3A">
      <w:pPr>
        <w:spacing w:after="0"/>
        <w:jc w:val="both"/>
        <w:rPr>
          <w:rFonts w:asciiTheme="majorHAnsi" w:eastAsia="Times New Roman" w:hAnsiTheme="majorHAnsi" w:cstheme="majorHAnsi"/>
          <w:b/>
          <w:i/>
          <w:sz w:val="24"/>
          <w:szCs w:val="24"/>
          <w:lang w:eastAsia="es-ES"/>
        </w:rPr>
      </w:pPr>
      <w:r w:rsidRPr="00370012">
        <w:rPr>
          <w:rFonts w:asciiTheme="majorHAnsi" w:eastAsia="Times New Roman" w:hAnsiTheme="majorHAnsi" w:cstheme="majorHAnsi"/>
          <w:lang w:eastAsia="es-ES"/>
        </w:rPr>
        <w:t>Los ítems a los cuales se le requerirá Autorización del Fabricante son los indicados a continuación</w:t>
      </w:r>
      <w:r w:rsidRPr="00370012">
        <w:rPr>
          <w:rFonts w:asciiTheme="majorHAnsi" w:eastAsia="Times New Roman" w:hAnsiTheme="majorHAnsi" w:cstheme="majorHAnsi"/>
          <w:b/>
          <w:lang w:eastAsia="es-ES"/>
        </w:rPr>
        <w:t>:</w:t>
      </w:r>
      <w:r w:rsidR="00D41578" w:rsidRPr="00370012">
        <w:rPr>
          <w:rFonts w:asciiTheme="majorHAnsi" w:eastAsia="Times New Roman" w:hAnsiTheme="majorHAnsi" w:cstheme="majorHAnsi"/>
          <w:b/>
          <w:color w:val="FF0000"/>
          <w:lang w:eastAsia="es-ES"/>
        </w:rPr>
        <w:t xml:space="preserve"> </w:t>
      </w:r>
      <w:r w:rsidR="008D556C">
        <w:rPr>
          <w:rFonts w:asciiTheme="majorHAnsi" w:eastAsia="Times New Roman" w:hAnsiTheme="majorHAnsi" w:cstheme="majorHAnsi"/>
          <w:b/>
          <w:i/>
          <w:sz w:val="24"/>
          <w:szCs w:val="24"/>
          <w:lang w:eastAsia="es-ES"/>
        </w:rPr>
        <w:t>NO APLICA</w:t>
      </w:r>
    </w:p>
    <w:p w14:paraId="2580814E" w14:textId="77777777" w:rsidR="005A5DE2" w:rsidRPr="00370012" w:rsidRDefault="005A5DE2" w:rsidP="00636C3A">
      <w:pPr>
        <w:spacing w:after="0"/>
        <w:jc w:val="both"/>
        <w:rPr>
          <w:rFonts w:asciiTheme="majorHAnsi" w:eastAsia="Times New Roman" w:hAnsiTheme="majorHAnsi" w:cstheme="majorHAnsi"/>
          <w:lang w:eastAsia="es-ES"/>
        </w:rPr>
      </w:pPr>
      <w:r w:rsidRPr="00370012">
        <w:rPr>
          <w:rFonts w:asciiTheme="majorHAnsi" w:eastAsia="Times New Roman" w:hAnsiTheme="majorHAnsi" w:cstheme="majorHAnsi"/>
          <w:lang w:eastAsia="es-ES"/>
        </w:rPr>
        <w:t>Cuando la convocante lo requiera, el oferente deberá acreditarse la cadena de autorizaciones, hasta el fabri</w:t>
      </w:r>
      <w:r w:rsidR="00280D78">
        <w:rPr>
          <w:rFonts w:asciiTheme="majorHAnsi" w:eastAsia="Times New Roman" w:hAnsiTheme="majorHAnsi" w:cstheme="majorHAnsi"/>
          <w:lang w:eastAsia="es-ES"/>
        </w:rPr>
        <w:t>cante o productor</w:t>
      </w:r>
      <w:r w:rsidRPr="00370012">
        <w:rPr>
          <w:rFonts w:asciiTheme="majorHAnsi" w:eastAsia="Times New Roman" w:hAnsiTheme="majorHAnsi" w:cstheme="majorHAnsi"/>
          <w:lang w:eastAsia="es-ES"/>
        </w:rPr>
        <w:t>.</w:t>
      </w:r>
    </w:p>
    <w:p w14:paraId="4DED54E4" w14:textId="77777777" w:rsidR="005A5DE2" w:rsidRPr="00370012" w:rsidRDefault="005A5DE2" w:rsidP="00EB296E">
      <w:pPr>
        <w:spacing w:after="0"/>
        <w:jc w:val="both"/>
        <w:rPr>
          <w:rFonts w:asciiTheme="majorHAnsi" w:eastAsia="Times New Roman" w:hAnsiTheme="majorHAnsi" w:cstheme="majorHAnsi"/>
          <w:lang w:eastAsia="es-ES"/>
        </w:rPr>
      </w:pPr>
      <w:r w:rsidRPr="00370012">
        <w:rPr>
          <w:rFonts w:asciiTheme="majorHAnsi" w:eastAsia="Times New Roman" w:hAnsiTheme="majorHAnsi" w:cstheme="majorHAnsi"/>
          <w:lang w:eastAsia="es-ES"/>
        </w:rPr>
        <w:t>La autorización deberá ser presentada en idioma castellano o en su defecto acompañada de su traducción oficial, realizada por un traductor público matriculado en la República del Paraguay. Así también cada autorización debe indicar a que ítem corresponde.</w:t>
      </w:r>
    </w:p>
    <w:p w14:paraId="24DE9A94" w14:textId="77777777" w:rsidR="000A417D" w:rsidRPr="000C5714" w:rsidRDefault="000C5714" w:rsidP="000C5714">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b/>
          <w:color w:val="000000"/>
          <w:lang w:eastAsia="es-PY"/>
        </w:rPr>
      </w:pPr>
      <w:r w:rsidRPr="000C5714">
        <w:rPr>
          <w:rFonts w:asciiTheme="majorHAnsi" w:hAnsiTheme="majorHAnsi" w:cstheme="majorHAnsi"/>
          <w:b/>
          <w:color w:val="000000"/>
          <w:lang w:eastAsia="es-PY"/>
        </w:rPr>
        <w:t>MUESTRAS</w:t>
      </w:r>
      <w:r w:rsidRPr="000C5714">
        <w:rPr>
          <w:rFonts w:asciiTheme="majorHAnsi" w:hAnsiTheme="majorHAnsi" w:cstheme="majorHAnsi"/>
          <w:b/>
          <w:color w:val="000000"/>
          <w:lang w:eastAsia="es-PY"/>
        </w:rPr>
        <w:tab/>
      </w:r>
      <w:r w:rsidRPr="000C5714">
        <w:rPr>
          <w:rFonts w:asciiTheme="majorHAnsi" w:hAnsiTheme="majorHAnsi" w:cstheme="majorHAnsi"/>
          <w:b/>
          <w:color w:val="000000"/>
          <w:lang w:eastAsia="es-PY"/>
        </w:rPr>
        <w:tab/>
      </w:r>
      <w:r w:rsidRPr="000C5714">
        <w:rPr>
          <w:rFonts w:asciiTheme="majorHAnsi" w:hAnsiTheme="majorHAnsi" w:cstheme="majorHAnsi"/>
          <w:b/>
          <w:color w:val="000000"/>
          <w:lang w:eastAsia="es-PY"/>
        </w:rPr>
        <w:tab/>
      </w:r>
      <w:r w:rsidRPr="000C5714">
        <w:rPr>
          <w:rFonts w:asciiTheme="majorHAnsi" w:hAnsiTheme="majorHAnsi" w:cstheme="majorHAnsi"/>
          <w:b/>
          <w:color w:val="000000"/>
          <w:lang w:eastAsia="es-PY"/>
        </w:rPr>
        <w:tab/>
      </w:r>
      <w:r w:rsidRPr="000C5714">
        <w:rPr>
          <w:rFonts w:asciiTheme="majorHAnsi" w:hAnsiTheme="majorHAnsi" w:cstheme="majorHAnsi"/>
          <w:b/>
          <w:color w:val="000000"/>
          <w:lang w:eastAsia="es-PY"/>
        </w:rPr>
        <w:tab/>
      </w:r>
    </w:p>
    <w:p w14:paraId="367BDE3E" w14:textId="77777777" w:rsidR="00B6186B" w:rsidRDefault="000A417D" w:rsidP="00EB296E">
      <w:pPr>
        <w:spacing w:after="0"/>
        <w:jc w:val="both"/>
        <w:rPr>
          <w:rFonts w:asciiTheme="majorHAnsi" w:eastAsia="Times New Roman" w:hAnsiTheme="majorHAnsi" w:cstheme="majorHAnsi"/>
          <w:b/>
          <w:i/>
          <w:u w:val="single"/>
          <w:lang w:eastAsia="es-PY"/>
        </w:rPr>
      </w:pPr>
      <w:r w:rsidRPr="00370012">
        <w:rPr>
          <w:rFonts w:asciiTheme="majorHAnsi" w:eastAsia="Times New Roman" w:hAnsiTheme="majorHAnsi" w:cstheme="majorHAnsi"/>
          <w:lang w:eastAsia="es-ES"/>
        </w:rPr>
        <w:t xml:space="preserve">Se requerirá la presentación de muestras de los siguientes ítems y en las siguientes condiciones: </w:t>
      </w:r>
      <w:r w:rsidRPr="000C5714">
        <w:rPr>
          <w:rFonts w:asciiTheme="majorHAnsi" w:eastAsia="Times New Roman" w:hAnsiTheme="majorHAnsi" w:cstheme="majorHAnsi"/>
          <w:b/>
          <w:i/>
          <w:u w:val="single"/>
          <w:lang w:eastAsia="es-ES"/>
        </w:rPr>
        <w:t xml:space="preserve">Muestras: </w:t>
      </w:r>
      <w:r w:rsidRPr="000C5714">
        <w:rPr>
          <w:rFonts w:asciiTheme="majorHAnsi" w:eastAsia="Times New Roman" w:hAnsiTheme="majorHAnsi" w:cstheme="majorHAnsi"/>
          <w:b/>
          <w:i/>
          <w:u w:val="single"/>
          <w:lang w:eastAsia="es-PY"/>
        </w:rPr>
        <w:t xml:space="preserve">No aplica. </w:t>
      </w:r>
    </w:p>
    <w:p w14:paraId="0ADCDAE3" w14:textId="75461232" w:rsidR="000A417D" w:rsidRPr="000C5714" w:rsidRDefault="000A417D" w:rsidP="00EB296E">
      <w:pPr>
        <w:spacing w:after="0"/>
        <w:jc w:val="both"/>
        <w:rPr>
          <w:rFonts w:asciiTheme="majorHAnsi" w:eastAsia="Times New Roman" w:hAnsiTheme="majorHAnsi" w:cstheme="majorHAnsi"/>
          <w:b/>
          <w:i/>
          <w:u w:val="single"/>
          <w:lang w:eastAsia="es-PY"/>
        </w:rPr>
      </w:pPr>
      <w:r w:rsidRPr="000C5714">
        <w:rPr>
          <w:rFonts w:asciiTheme="majorHAnsi" w:eastAsia="Times New Roman" w:hAnsiTheme="majorHAnsi" w:cstheme="majorHAnsi"/>
          <w:b/>
          <w:i/>
          <w:u w:val="single"/>
          <w:lang w:eastAsia="es-PY"/>
        </w:rPr>
        <w:t xml:space="preserve">Folletos y/o </w:t>
      </w:r>
      <w:r w:rsidR="001A233D" w:rsidRPr="000C5714">
        <w:rPr>
          <w:rFonts w:asciiTheme="majorHAnsi" w:eastAsia="Times New Roman" w:hAnsiTheme="majorHAnsi" w:cstheme="majorHAnsi"/>
          <w:b/>
          <w:i/>
          <w:u w:val="single"/>
          <w:lang w:eastAsia="es-PY"/>
        </w:rPr>
        <w:t>C</w:t>
      </w:r>
      <w:r w:rsidRPr="000C5714">
        <w:rPr>
          <w:rFonts w:asciiTheme="majorHAnsi" w:eastAsia="Times New Roman" w:hAnsiTheme="majorHAnsi" w:cstheme="majorHAnsi"/>
          <w:b/>
          <w:i/>
          <w:u w:val="single"/>
          <w:lang w:eastAsia="es-PY"/>
        </w:rPr>
        <w:t>atálogos: Sí</w:t>
      </w:r>
      <w:r w:rsidR="00AC77DA" w:rsidRPr="000C5714">
        <w:rPr>
          <w:rFonts w:asciiTheme="majorHAnsi" w:eastAsia="Times New Roman" w:hAnsiTheme="majorHAnsi" w:cstheme="majorHAnsi"/>
          <w:b/>
          <w:i/>
          <w:u w:val="single"/>
          <w:lang w:eastAsia="es-PY"/>
        </w:rPr>
        <w:t xml:space="preserve"> aplica</w:t>
      </w:r>
      <w:r w:rsidR="00804A43">
        <w:rPr>
          <w:rFonts w:asciiTheme="majorHAnsi" w:eastAsia="Times New Roman" w:hAnsiTheme="majorHAnsi" w:cstheme="majorHAnsi"/>
          <w:b/>
          <w:i/>
          <w:u w:val="single"/>
          <w:lang w:eastAsia="es-PY"/>
        </w:rPr>
        <w:t xml:space="preserve">, y deberá ser presentado al momento de la apertura de ofertas. Caso contrario la oferta </w:t>
      </w:r>
      <w:r w:rsidR="0027167B">
        <w:rPr>
          <w:rFonts w:asciiTheme="majorHAnsi" w:eastAsia="Times New Roman" w:hAnsiTheme="majorHAnsi" w:cstheme="majorHAnsi"/>
          <w:b/>
          <w:i/>
          <w:u w:val="single"/>
          <w:lang w:eastAsia="es-PY"/>
        </w:rPr>
        <w:t>quedará desestimada</w:t>
      </w:r>
      <w:r w:rsidR="00AC77DA" w:rsidRPr="000C5714">
        <w:rPr>
          <w:rFonts w:asciiTheme="majorHAnsi" w:eastAsia="Times New Roman" w:hAnsiTheme="majorHAnsi" w:cstheme="majorHAnsi"/>
          <w:b/>
          <w:i/>
          <w:u w:val="single"/>
          <w:lang w:eastAsia="es-PY"/>
        </w:rPr>
        <w:t>.</w:t>
      </w:r>
    </w:p>
    <w:p w14:paraId="55C5F601" w14:textId="77777777" w:rsidR="00B442DD" w:rsidRPr="000F6400" w:rsidRDefault="002A1213" w:rsidP="000F6400">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b/>
          <w:color w:val="000000"/>
          <w:lang w:eastAsia="es-PY"/>
        </w:rPr>
      </w:pPr>
      <w:r>
        <w:rPr>
          <w:rFonts w:asciiTheme="majorHAnsi" w:hAnsiTheme="majorHAnsi" w:cstheme="majorHAnsi"/>
          <w:b/>
          <w:color w:val="000000"/>
          <w:lang w:eastAsia="es-PY"/>
        </w:rPr>
        <w:t>PLAZO DE REPOSICIÓN DE BIENES E INSUMOS</w:t>
      </w:r>
    </w:p>
    <w:p w14:paraId="267B5F67" w14:textId="77777777" w:rsidR="00B442DD" w:rsidRPr="002730F7" w:rsidRDefault="00B442DD" w:rsidP="00636C3A">
      <w:pPr>
        <w:spacing w:after="0"/>
        <w:jc w:val="both"/>
        <w:rPr>
          <w:rFonts w:asciiTheme="majorHAnsi" w:hAnsiTheme="majorHAnsi" w:cstheme="majorHAnsi"/>
          <w:b/>
          <w:u w:val="single"/>
        </w:rPr>
      </w:pPr>
      <w:r w:rsidRPr="00370012">
        <w:rPr>
          <w:rFonts w:asciiTheme="majorHAnsi" w:hAnsiTheme="majorHAnsi" w:cstheme="majorHAnsi"/>
        </w:rPr>
        <w:t>El plazo de reposición de bienes para reparar o reemplazar será de:</w:t>
      </w:r>
      <w:r w:rsidR="00EE5C7D" w:rsidRPr="00370012">
        <w:rPr>
          <w:rFonts w:asciiTheme="majorHAnsi" w:hAnsiTheme="majorHAnsi" w:cstheme="majorHAnsi"/>
        </w:rPr>
        <w:t xml:space="preserve"> </w:t>
      </w:r>
      <w:r w:rsidR="00EE5C7D" w:rsidRPr="002730F7">
        <w:rPr>
          <w:rFonts w:asciiTheme="majorHAnsi" w:eastAsia="Times New Roman" w:hAnsiTheme="majorHAnsi" w:cstheme="majorHAnsi"/>
          <w:b/>
          <w:i/>
          <w:u w:val="single"/>
          <w:lang w:eastAsia="es-PY"/>
        </w:rPr>
        <w:t>5</w:t>
      </w:r>
      <w:r w:rsidRPr="002730F7">
        <w:rPr>
          <w:rFonts w:asciiTheme="majorHAnsi" w:eastAsia="Times New Roman" w:hAnsiTheme="majorHAnsi" w:cstheme="majorHAnsi"/>
          <w:b/>
          <w:i/>
          <w:u w:val="single"/>
          <w:lang w:eastAsia="es-PY"/>
        </w:rPr>
        <w:t xml:space="preserve"> </w:t>
      </w:r>
      <w:r w:rsidR="00837DAB">
        <w:rPr>
          <w:rFonts w:asciiTheme="majorHAnsi" w:eastAsia="Times New Roman" w:hAnsiTheme="majorHAnsi" w:cstheme="majorHAnsi"/>
          <w:b/>
          <w:i/>
          <w:u w:val="single"/>
          <w:lang w:eastAsia="es-PY"/>
        </w:rPr>
        <w:t xml:space="preserve">(cinco) </w:t>
      </w:r>
      <w:r w:rsidRPr="002730F7">
        <w:rPr>
          <w:rFonts w:asciiTheme="majorHAnsi" w:eastAsia="Times New Roman" w:hAnsiTheme="majorHAnsi" w:cstheme="majorHAnsi"/>
          <w:b/>
          <w:i/>
          <w:u w:val="single"/>
          <w:lang w:eastAsia="es-PY"/>
        </w:rPr>
        <w:t xml:space="preserve">días hábiles para la reposición de los bienes </w:t>
      </w:r>
      <w:r w:rsidR="002A1213">
        <w:rPr>
          <w:rFonts w:asciiTheme="majorHAnsi" w:eastAsia="Times New Roman" w:hAnsiTheme="majorHAnsi" w:cstheme="majorHAnsi"/>
          <w:b/>
          <w:i/>
          <w:u w:val="single"/>
          <w:lang w:eastAsia="es-PY"/>
        </w:rPr>
        <w:t xml:space="preserve">e insumos </w:t>
      </w:r>
      <w:r w:rsidRPr="002730F7">
        <w:rPr>
          <w:rFonts w:asciiTheme="majorHAnsi" w:eastAsia="Times New Roman" w:hAnsiTheme="majorHAnsi" w:cstheme="majorHAnsi"/>
          <w:b/>
          <w:i/>
          <w:u w:val="single"/>
          <w:lang w:eastAsia="es-PY"/>
        </w:rPr>
        <w:t>desde</w:t>
      </w:r>
      <w:r w:rsidR="00EE5C7D" w:rsidRPr="002730F7">
        <w:rPr>
          <w:rFonts w:asciiTheme="majorHAnsi" w:eastAsia="Times New Roman" w:hAnsiTheme="majorHAnsi" w:cstheme="majorHAnsi"/>
          <w:b/>
          <w:i/>
          <w:u w:val="single"/>
          <w:lang w:eastAsia="es-PY"/>
        </w:rPr>
        <w:t xml:space="preserve"> la comunicación al proveedor.</w:t>
      </w:r>
    </w:p>
    <w:p w14:paraId="6607C07E" w14:textId="77777777" w:rsidR="00B442DD" w:rsidRPr="00370012" w:rsidRDefault="00B442DD" w:rsidP="00636C3A">
      <w:pPr>
        <w:spacing w:after="0"/>
        <w:jc w:val="both"/>
        <w:rPr>
          <w:rFonts w:asciiTheme="majorHAnsi" w:hAnsiTheme="majorHAnsi" w:cstheme="majorHAnsi"/>
        </w:rPr>
      </w:pPr>
      <w:r w:rsidRPr="00370012">
        <w:rPr>
          <w:rFonts w:asciiTheme="majorHAnsi" w:hAnsiTheme="majorHAnsi" w:cstheme="majorHAnsi"/>
        </w:rPr>
        <w:t>El proveedor garantiza que todos los bienes suministrados están libres de defectos derivados de actos y omisiones que este hubiera incurrido, o derivados del diseño, materiales o manufactura, durante el uso normal de los bienes en las condiciones que imperen en la República del Paraguay.</w:t>
      </w:r>
    </w:p>
    <w:p w14:paraId="527085F4" w14:textId="6CD72375" w:rsidR="002730F7" w:rsidRPr="00815445" w:rsidRDefault="00B442DD" w:rsidP="00815445">
      <w:pPr>
        <w:pStyle w:val="Ttulo2Car"/>
        <w:numPr>
          <w:ilvl w:val="1"/>
          <w:numId w:val="30"/>
        </w:numPr>
        <w:rPr>
          <w:rFonts w:asciiTheme="majorHAnsi" w:hAnsiTheme="majorHAnsi" w:cstheme="majorHAnsi"/>
        </w:rPr>
      </w:pPr>
      <w:r w:rsidRPr="00815445">
        <w:rPr>
          <w:rFonts w:asciiTheme="majorHAnsi" w:hAnsiTheme="majorHAnsi" w:cstheme="majorHAnsi"/>
        </w:rPr>
        <w:lastRenderedPageBreak/>
        <w:t xml:space="preserve">La Contratante comunicará al proveedor la naturaleza de los defectos y proporcionará toda evidencia disponible, inmediatamente después de haberlos descubierto. </w:t>
      </w:r>
    </w:p>
    <w:p w14:paraId="41CFB5DC" w14:textId="77777777" w:rsidR="00B442DD" w:rsidRPr="00370012" w:rsidRDefault="00B442DD" w:rsidP="002730F7">
      <w:pPr>
        <w:spacing w:after="0"/>
        <w:ind w:left="284"/>
        <w:jc w:val="both"/>
        <w:rPr>
          <w:rFonts w:asciiTheme="majorHAnsi" w:hAnsiTheme="majorHAnsi" w:cstheme="majorHAnsi"/>
        </w:rPr>
      </w:pPr>
      <w:r w:rsidRPr="00370012">
        <w:rPr>
          <w:rFonts w:asciiTheme="majorHAnsi" w:hAnsiTheme="majorHAnsi" w:cstheme="majorHAnsi"/>
        </w:rPr>
        <w:t>La contratante otorgará al proveedor facilidades razonables para inspeccionar tales defectos.</w:t>
      </w:r>
      <w:r w:rsidR="002730F7">
        <w:rPr>
          <w:rFonts w:asciiTheme="majorHAnsi" w:hAnsiTheme="majorHAnsi" w:cstheme="majorHAnsi"/>
        </w:rPr>
        <w:t xml:space="preserve"> </w:t>
      </w:r>
    </w:p>
    <w:p w14:paraId="5880990E" w14:textId="77777777" w:rsidR="00B442DD" w:rsidRPr="00370012" w:rsidRDefault="00B442DD" w:rsidP="00612313">
      <w:pPr>
        <w:spacing w:after="0"/>
        <w:ind w:left="284"/>
        <w:jc w:val="both"/>
        <w:rPr>
          <w:rFonts w:asciiTheme="majorHAnsi" w:hAnsiTheme="majorHAnsi" w:cstheme="majorHAnsi"/>
        </w:rPr>
      </w:pPr>
      <w:r w:rsidRPr="00370012">
        <w:rPr>
          <w:rFonts w:asciiTheme="majorHAnsi" w:hAnsiTheme="majorHAnsi" w:cstheme="majorHAnsi"/>
        </w:rPr>
        <w:t>Tan pronto reciba ésta comunicación, y dentro del plazo establecido en este apartado, deberá reparar o reemplazar los bienes defectuosos, o sus partes sin ningún costo para la contratante.</w:t>
      </w:r>
    </w:p>
    <w:p w14:paraId="587C89A6" w14:textId="762AC1FD" w:rsidR="00B442DD" w:rsidRPr="00AA0089" w:rsidRDefault="00B442DD" w:rsidP="00AA0089">
      <w:pPr>
        <w:pStyle w:val="Ttulo2Car"/>
        <w:numPr>
          <w:ilvl w:val="0"/>
          <w:numId w:val="16"/>
        </w:numPr>
        <w:rPr>
          <w:rFonts w:asciiTheme="majorHAnsi" w:hAnsiTheme="majorHAnsi" w:cstheme="majorHAnsi"/>
        </w:rPr>
      </w:pPr>
      <w:r w:rsidRPr="00AA0089">
        <w:rPr>
          <w:rFonts w:asciiTheme="majorHAnsi" w:hAnsiTheme="majorHAnsi" w:cstheme="majorHAnsi"/>
        </w:rPr>
        <w:t>Si el proveedor después de haber sido notificado, no cumple dentro del plazo establecido, la contratante, procederá a tomar medidas necesarias para remediar la situación, por cuenta y riesgo del proveedor y sin perjuicio de otros derechos que la contratante pueda ejercer contra el proveedor en virtud del contrato.</w:t>
      </w:r>
    </w:p>
    <w:p w14:paraId="3CB97DCC" w14:textId="77777777" w:rsidR="00612313" w:rsidRPr="002730F7" w:rsidRDefault="002730F7" w:rsidP="002730F7">
      <w:pPr>
        <w:pStyle w:val="Ttulo2Car"/>
        <w:numPr>
          <w:ilvl w:val="0"/>
          <w:numId w:val="34"/>
        </w:numPr>
        <w:pBdr>
          <w:top w:val="single" w:sz="4" w:space="1" w:color="auto"/>
          <w:left w:val="single" w:sz="4" w:space="4" w:color="auto"/>
          <w:bottom w:val="single" w:sz="4" w:space="1" w:color="auto"/>
          <w:right w:val="single" w:sz="4" w:space="4" w:color="auto"/>
        </w:pBdr>
        <w:spacing w:before="240"/>
        <w:contextualSpacing/>
        <w:rPr>
          <w:rFonts w:asciiTheme="majorHAnsi" w:hAnsiTheme="majorHAnsi" w:cstheme="majorHAnsi"/>
          <w:b/>
          <w:color w:val="000000"/>
          <w:lang w:eastAsia="es-PY"/>
        </w:rPr>
      </w:pPr>
      <w:r w:rsidRPr="002730F7">
        <w:rPr>
          <w:rFonts w:asciiTheme="majorHAnsi" w:hAnsiTheme="majorHAnsi" w:cstheme="majorHAnsi"/>
          <w:b/>
          <w:color w:val="000000"/>
          <w:lang w:eastAsia="es-PY"/>
        </w:rPr>
        <w:t>PERIODO DE VALIDEZ DE LA GARANTÍA DE LOS BIENES</w:t>
      </w:r>
    </w:p>
    <w:p w14:paraId="3B2BEE17" w14:textId="77777777" w:rsidR="0027167B" w:rsidRDefault="00612313" w:rsidP="0027167B">
      <w:pPr>
        <w:spacing w:after="0"/>
        <w:ind w:right="-285"/>
        <w:jc w:val="both"/>
        <w:rPr>
          <w:rFonts w:asciiTheme="majorHAnsi" w:hAnsiTheme="majorHAnsi" w:cstheme="majorHAnsi"/>
          <w:b/>
          <w:i/>
          <w:u w:val="single"/>
        </w:rPr>
      </w:pPr>
      <w:r w:rsidRPr="00370012">
        <w:rPr>
          <w:rFonts w:asciiTheme="majorHAnsi" w:hAnsiTheme="majorHAnsi" w:cstheme="majorHAnsi"/>
        </w:rPr>
        <w:t>El plazo de validez de la garantía de los bienes será el siguiente:</w:t>
      </w:r>
      <w:r w:rsidR="00E975B7" w:rsidRPr="00370012">
        <w:rPr>
          <w:rFonts w:asciiTheme="majorHAnsi" w:hAnsiTheme="majorHAnsi" w:cstheme="majorHAnsi"/>
        </w:rPr>
        <w:t xml:space="preserve"> </w:t>
      </w:r>
      <w:r w:rsidR="0027167B">
        <w:rPr>
          <w:rFonts w:asciiTheme="majorHAnsi" w:hAnsiTheme="majorHAnsi" w:cstheme="majorHAnsi"/>
          <w:b/>
          <w:i/>
          <w:u w:val="single"/>
        </w:rPr>
        <w:t>no aplica</w:t>
      </w:r>
    </w:p>
    <w:p w14:paraId="4AFF3FE4" w14:textId="65F9CC9F" w:rsidR="00B338C7" w:rsidRPr="002730F7" w:rsidRDefault="002730F7" w:rsidP="0027167B">
      <w:pPr>
        <w:spacing w:after="0"/>
        <w:ind w:right="-285"/>
        <w:jc w:val="both"/>
        <w:rPr>
          <w:rFonts w:asciiTheme="majorHAnsi" w:hAnsiTheme="majorHAnsi" w:cstheme="majorHAnsi"/>
          <w:b/>
          <w:color w:val="000000"/>
          <w:lang w:eastAsia="es-PY"/>
        </w:rPr>
      </w:pPr>
      <w:r w:rsidRPr="002730F7">
        <w:rPr>
          <w:rFonts w:asciiTheme="majorHAnsi" w:hAnsiTheme="majorHAnsi" w:cstheme="majorHAnsi"/>
          <w:b/>
          <w:color w:val="000000"/>
          <w:lang w:eastAsia="es-PY"/>
        </w:rPr>
        <w:t>COBERTURA DE SEGURO DE LOS BIENES</w:t>
      </w:r>
    </w:p>
    <w:p w14:paraId="3D42FBAC" w14:textId="77777777" w:rsidR="00B338C7" w:rsidRPr="00C6640E" w:rsidRDefault="00B338C7" w:rsidP="00636C3A">
      <w:pPr>
        <w:spacing w:after="0"/>
        <w:jc w:val="both"/>
        <w:rPr>
          <w:rFonts w:asciiTheme="majorHAnsi" w:eastAsia="Times New Roman" w:hAnsiTheme="majorHAnsi" w:cstheme="majorHAnsi"/>
          <w:b/>
          <w:i/>
          <w:u w:val="single"/>
          <w:lang w:eastAsia="es-PY"/>
        </w:rPr>
      </w:pPr>
      <w:r w:rsidRPr="00370012">
        <w:rPr>
          <w:rFonts w:asciiTheme="majorHAnsi" w:hAnsiTheme="majorHAnsi" w:cstheme="majorHAnsi"/>
        </w:rPr>
        <w:t xml:space="preserve">La cobertura de seguro requerida a los bienes será: </w:t>
      </w:r>
      <w:r w:rsidR="00A615F0">
        <w:rPr>
          <w:rFonts w:asciiTheme="majorHAnsi" w:eastAsia="Times New Roman" w:hAnsiTheme="majorHAnsi" w:cstheme="majorHAnsi"/>
          <w:b/>
          <w:i/>
          <w:u w:val="single"/>
          <w:lang w:eastAsia="es-PY"/>
        </w:rPr>
        <w:t>No aplica</w:t>
      </w:r>
      <w:r w:rsidR="00E20CE8" w:rsidRPr="00C6640E">
        <w:rPr>
          <w:rFonts w:asciiTheme="majorHAnsi" w:eastAsia="Times New Roman" w:hAnsiTheme="majorHAnsi" w:cstheme="majorHAnsi"/>
          <w:b/>
          <w:i/>
          <w:u w:val="single"/>
          <w:lang w:eastAsia="es-PY"/>
        </w:rPr>
        <w:t xml:space="preserve">: </w:t>
      </w:r>
      <w:r w:rsidR="005E57FE" w:rsidRPr="00C6640E">
        <w:rPr>
          <w:rFonts w:asciiTheme="majorHAnsi" w:eastAsia="Times New Roman" w:hAnsiTheme="majorHAnsi" w:cstheme="majorHAnsi"/>
          <w:b/>
          <w:i/>
          <w:u w:val="single"/>
          <w:lang w:eastAsia="es-PY"/>
        </w:rPr>
        <w:t>---------------------</w:t>
      </w:r>
    </w:p>
    <w:p w14:paraId="4907AED3" w14:textId="791F4FB9" w:rsidR="002A42DF" w:rsidRPr="00095E70" w:rsidRDefault="00B338C7" w:rsidP="00095E70">
      <w:pPr>
        <w:spacing w:after="0"/>
        <w:jc w:val="both"/>
        <w:rPr>
          <w:rFonts w:asciiTheme="majorHAnsi" w:hAnsiTheme="majorHAnsi" w:cstheme="majorHAnsi"/>
        </w:rPr>
      </w:pPr>
      <w:r w:rsidRPr="00370012">
        <w:rPr>
          <w:rFonts w:asciiTheme="majorHAnsi" w:hAnsiTheme="majorHAnsi" w:cstheme="majorHAnsi"/>
        </w:rPr>
        <w:t>A menos que se disponga otra cosa en este apartado, los bienes suministrados deberán estar completamente asegurados en guaraníes, contra riesgo de extravío o daños incidentales ocurridos durante la fabricación, adquisición, transporte, almacenamiento y entrega, de acuerdo a los incoterms aplicables. </w:t>
      </w:r>
    </w:p>
    <w:p w14:paraId="02120130" w14:textId="77777777" w:rsidR="003875CA" w:rsidRPr="00370012" w:rsidRDefault="003875CA" w:rsidP="002A42DF">
      <w:pPr>
        <w:pStyle w:val="Hipervncu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A3C3C"/>
        <w:rPr>
          <w:rFonts w:asciiTheme="majorHAnsi" w:hAnsiTheme="majorHAnsi" w:cstheme="majorHAnsi"/>
        </w:rPr>
      </w:pPr>
      <w:r w:rsidRPr="00370012">
        <w:rPr>
          <w:rFonts w:asciiTheme="majorHAnsi" w:hAnsiTheme="majorHAnsi" w:cstheme="majorHAnsi"/>
        </w:rPr>
        <w:t>REQUISITOS DE PARTICIPACIÓN Y CRITERIOS DE EVALUACION</w:t>
      </w:r>
    </w:p>
    <w:p w14:paraId="07C44DE8" w14:textId="77777777" w:rsidR="00B338C7" w:rsidRPr="00370012" w:rsidRDefault="00B338C7" w:rsidP="00687675">
      <w:pPr>
        <w:tabs>
          <w:tab w:val="left" w:pos="1545"/>
        </w:tabs>
        <w:rPr>
          <w:rFonts w:asciiTheme="majorHAnsi" w:eastAsia="Times New Roman" w:hAnsiTheme="majorHAnsi" w:cstheme="majorHAnsi"/>
          <w:lang w:eastAsia="es-PY"/>
        </w:rPr>
      </w:pPr>
    </w:p>
    <w:p w14:paraId="10ED6AFE" w14:textId="77777777" w:rsidR="00690DBC" w:rsidRPr="00370012" w:rsidRDefault="0083132B" w:rsidP="0083132B">
      <w:pPr>
        <w:pStyle w:val="Estilo2Car"/>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CONDICIÓN DE PARTICIPACIÓN</w:t>
      </w:r>
    </w:p>
    <w:p w14:paraId="7F2E5519" w14:textId="77777777" w:rsidR="00690DBC" w:rsidRPr="000D4981" w:rsidRDefault="00690DBC" w:rsidP="00A22017">
      <w:pPr>
        <w:spacing w:after="0"/>
        <w:jc w:val="both"/>
        <w:rPr>
          <w:rFonts w:asciiTheme="majorHAnsi" w:eastAsia="Times New Roman" w:hAnsiTheme="majorHAnsi" w:cstheme="majorHAnsi"/>
          <w:b/>
          <w:i/>
          <w:u w:val="single"/>
          <w:lang w:eastAsia="es-PY"/>
        </w:rPr>
      </w:pPr>
      <w:r w:rsidRPr="000D4981">
        <w:rPr>
          <w:rFonts w:asciiTheme="majorHAnsi" w:eastAsia="Times New Roman" w:hAnsiTheme="majorHAnsi" w:cstheme="majorHAnsi"/>
          <w:b/>
          <w:i/>
          <w:u w:val="single"/>
          <w:lang w:eastAsia="es-PY"/>
        </w:rPr>
        <w:t xml:space="preserve">Podrán participar de este procedimiento, las personas físicas, jurídicas y/o Consorcio, constituidos o con acuerdo de intención, inscriptos </w:t>
      </w:r>
      <w:r w:rsidR="00E85CE6" w:rsidRPr="000D4981">
        <w:rPr>
          <w:rFonts w:asciiTheme="majorHAnsi" w:eastAsia="Times New Roman" w:hAnsiTheme="majorHAnsi" w:cstheme="majorHAnsi"/>
          <w:b/>
          <w:i/>
          <w:u w:val="single"/>
          <w:lang w:eastAsia="es-PY"/>
        </w:rPr>
        <w:t xml:space="preserve">en </w:t>
      </w:r>
      <w:r w:rsidRPr="000D4981">
        <w:rPr>
          <w:rFonts w:asciiTheme="majorHAnsi" w:eastAsia="Times New Roman" w:hAnsiTheme="majorHAnsi" w:cstheme="majorHAnsi"/>
          <w:b/>
          <w:i/>
          <w:u w:val="single"/>
          <w:lang w:eastAsia="es-PY"/>
        </w:rPr>
        <w:t>el Registro de Proveedores del Estado.</w:t>
      </w:r>
    </w:p>
    <w:p w14:paraId="2F8391F0" w14:textId="2FF4C7CB" w:rsidR="00690DBC" w:rsidRDefault="00690DBC" w:rsidP="00A22017">
      <w:pPr>
        <w:spacing w:after="0"/>
        <w:jc w:val="both"/>
        <w:rPr>
          <w:rFonts w:asciiTheme="majorHAnsi" w:eastAsia="Times New Roman" w:hAnsiTheme="majorHAnsi" w:cstheme="majorHAnsi"/>
          <w:b/>
          <w:i/>
          <w:u w:val="single"/>
          <w:lang w:eastAsia="es-PY"/>
        </w:rPr>
      </w:pPr>
      <w:r w:rsidRPr="000D4981">
        <w:rPr>
          <w:rFonts w:asciiTheme="majorHAnsi" w:eastAsia="Times New Roman" w:hAnsiTheme="majorHAnsi" w:cstheme="majorHAnsi"/>
          <w:b/>
          <w:i/>
          <w:u w:val="single"/>
          <w:lang w:eastAsia="es-PY"/>
        </w:rPr>
        <w:t>Los oferentes domiciliados en la República del Paraguay, que pretendan participar en un procedimiento de contratación, no deberán estar comprendidos en las prohibiciones o limitaciones para presentar propuestas y contratar con el Estado, establecidas en la Ley</w:t>
      </w:r>
      <w:r w:rsidR="009160CB">
        <w:rPr>
          <w:rFonts w:asciiTheme="majorHAnsi" w:eastAsia="Times New Roman" w:hAnsiTheme="majorHAnsi" w:cstheme="majorHAnsi"/>
          <w:b/>
          <w:i/>
          <w:u w:val="single"/>
          <w:lang w:eastAsia="es-PY"/>
        </w:rPr>
        <w:t xml:space="preserve"> </w:t>
      </w:r>
      <w:r w:rsidRPr="000D4981">
        <w:rPr>
          <w:rFonts w:asciiTheme="majorHAnsi" w:eastAsia="Times New Roman" w:hAnsiTheme="majorHAnsi" w:cstheme="majorHAnsi"/>
          <w:b/>
          <w:i/>
          <w:u w:val="single"/>
          <w:lang w:eastAsia="es-PY"/>
        </w:rPr>
        <w:t xml:space="preserve">N° 7021/22 </w:t>
      </w:r>
      <w:r w:rsidR="00815445">
        <w:rPr>
          <w:rFonts w:asciiTheme="majorHAnsi" w:eastAsia="Times New Roman" w:hAnsiTheme="majorHAnsi" w:cstheme="majorHAnsi"/>
          <w:b/>
          <w:i/>
          <w:u w:val="single"/>
          <w:lang w:eastAsia="es-PY"/>
        </w:rPr>
        <w:t>“</w:t>
      </w:r>
      <w:r w:rsidRPr="000D4981">
        <w:rPr>
          <w:rFonts w:asciiTheme="majorHAnsi" w:eastAsia="Times New Roman" w:hAnsiTheme="majorHAnsi" w:cstheme="majorHAnsi"/>
          <w:b/>
          <w:i/>
          <w:u w:val="single"/>
          <w:lang w:eastAsia="es-PY"/>
        </w:rPr>
        <w:t>DE SUMINISTROS Y CONTRATACIONES PUBLICAS</w:t>
      </w:r>
      <w:r w:rsidR="00815445">
        <w:rPr>
          <w:rFonts w:asciiTheme="majorHAnsi" w:eastAsia="Times New Roman" w:hAnsiTheme="majorHAnsi" w:cstheme="majorHAnsi"/>
          <w:b/>
          <w:i/>
          <w:u w:val="single"/>
          <w:lang w:eastAsia="es-PY"/>
        </w:rPr>
        <w:t>”</w:t>
      </w:r>
      <w:r w:rsidRPr="000D4981">
        <w:rPr>
          <w:rFonts w:asciiTheme="majorHAnsi" w:eastAsia="Times New Roman" w:hAnsiTheme="majorHAnsi" w:cstheme="majorHAnsi"/>
          <w:b/>
          <w:i/>
          <w:u w:val="single"/>
          <w:lang w:eastAsia="es-PY"/>
        </w:rPr>
        <w:t>.</w:t>
      </w:r>
    </w:p>
    <w:p w14:paraId="65826AFE" w14:textId="77777777" w:rsidR="00BD23C3" w:rsidRPr="00BD23C3" w:rsidRDefault="00BD23C3" w:rsidP="00BD23C3">
      <w:pPr>
        <w:spacing w:after="0"/>
        <w:jc w:val="both"/>
        <w:rPr>
          <w:rFonts w:asciiTheme="majorHAnsi" w:eastAsia="Times New Roman" w:hAnsiTheme="majorHAnsi" w:cstheme="majorHAnsi"/>
          <w:b/>
          <w:i/>
          <w:u w:val="single"/>
          <w:lang w:eastAsia="es-PY"/>
        </w:rPr>
      </w:pPr>
      <w:r w:rsidRPr="00BD23C3">
        <w:rPr>
          <w:rFonts w:asciiTheme="majorHAnsi" w:eastAsia="Times New Roman" w:hAnsiTheme="majorHAnsi" w:cstheme="majorHAnsi"/>
          <w:b/>
          <w:i/>
          <w:u w:val="single"/>
          <w:lang w:eastAsia="es-PY"/>
        </w:rPr>
        <w:t>El comité podrá recurrir a fuentes públicas o privadas de información, para verificar los datos proporcionados por el oferente y las obrantes en el registro de inhabilitados de la DNCP.</w:t>
      </w:r>
    </w:p>
    <w:p w14:paraId="574F8510" w14:textId="77777777" w:rsidR="00BD23C3" w:rsidRPr="00BD23C3" w:rsidRDefault="00BD23C3" w:rsidP="00BD23C3">
      <w:pPr>
        <w:spacing w:after="0"/>
        <w:jc w:val="both"/>
        <w:rPr>
          <w:rFonts w:asciiTheme="majorHAnsi" w:eastAsia="Times New Roman" w:hAnsiTheme="majorHAnsi" w:cstheme="majorHAnsi"/>
          <w:b/>
          <w:i/>
          <w:u w:val="single"/>
          <w:lang w:eastAsia="es-PY"/>
        </w:rPr>
      </w:pPr>
      <w:r w:rsidRPr="00BD23C3">
        <w:rPr>
          <w:rFonts w:asciiTheme="majorHAnsi" w:eastAsia="Times New Roman" w:hAnsiTheme="majorHAnsi" w:cstheme="majorHAnsi"/>
          <w:b/>
          <w:i/>
          <w:u w:val="single"/>
          <w:lang w:eastAsia="es-PY"/>
        </w:rPr>
        <w:t>Si el Comité confirma que el oferente o sus integrantes poseen impedimentos en virtud a lo dispuesto en el artículo 21 de la Ley N° 7021/22, la oferta será rechazada y se remitirán los antecedentes a la DNCP para los fines pertinentes.</w:t>
      </w:r>
    </w:p>
    <w:p w14:paraId="20B09B25" w14:textId="77777777" w:rsidR="00690DBC" w:rsidRPr="00370012" w:rsidRDefault="00690DBC" w:rsidP="00FB7131">
      <w:pPr>
        <w:tabs>
          <w:tab w:val="left" w:pos="1545"/>
        </w:tabs>
        <w:spacing w:after="0"/>
        <w:rPr>
          <w:rFonts w:asciiTheme="majorHAnsi" w:eastAsia="Times New Roman" w:hAnsiTheme="majorHAnsi" w:cstheme="majorHAnsi"/>
          <w:lang w:eastAsia="es-PY"/>
        </w:rPr>
      </w:pPr>
    </w:p>
    <w:p w14:paraId="323C963C" w14:textId="77777777" w:rsidR="001E3595" w:rsidRPr="00FB7131" w:rsidRDefault="00FB7131" w:rsidP="00FB7131">
      <w:pPr>
        <w:pStyle w:val="Estilo2Car"/>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SUCURSALES</w:t>
      </w:r>
    </w:p>
    <w:p w14:paraId="595C53B0" w14:textId="77777777" w:rsidR="001E3595" w:rsidRPr="00370012" w:rsidRDefault="001E3595" w:rsidP="001E3595">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En los casos de procedimientos de contratación de carácter nacional podrán participar las sucursales de las matrices internacionales </w:t>
      </w:r>
      <w:r w:rsidRPr="002676A6">
        <w:rPr>
          <w:rFonts w:asciiTheme="majorHAnsi" w:eastAsia="Times New Roman" w:hAnsiTheme="majorHAnsi" w:cstheme="majorHAnsi"/>
          <w:b/>
          <w:i/>
          <w:color w:val="000000"/>
          <w:u w:val="single"/>
          <w:lang w:eastAsia="es-PY"/>
        </w:rPr>
        <w:t>constituidas en la República del Paraguay</w:t>
      </w:r>
      <w:r w:rsidRPr="00370012">
        <w:rPr>
          <w:rFonts w:asciiTheme="majorHAnsi" w:eastAsia="Times New Roman" w:hAnsiTheme="majorHAnsi" w:cstheme="majorHAnsi"/>
          <w:color w:val="000000"/>
          <w:lang w:eastAsia="es-PY"/>
        </w:rPr>
        <w:t>. Solo serán admitidas como criterios de adjudicación las capacidades, experiencia y aptitudes de la sucursal recabadas desde su constitución, sin admitirse la utilización de las cualidades de la casa matriz u otras filiales o sucursales.</w:t>
      </w:r>
    </w:p>
    <w:p w14:paraId="46036340" w14:textId="77777777" w:rsidR="002406C6" w:rsidRPr="00370012" w:rsidRDefault="002406C6" w:rsidP="002406C6">
      <w:pPr>
        <w:autoSpaceDE w:val="0"/>
        <w:autoSpaceDN w:val="0"/>
        <w:spacing w:after="0"/>
        <w:jc w:val="both"/>
        <w:rPr>
          <w:rFonts w:asciiTheme="majorHAnsi" w:hAnsiTheme="majorHAnsi" w:cstheme="majorHAnsi"/>
          <w:lang w:eastAsia="es-PY"/>
        </w:rPr>
      </w:pPr>
      <w:bookmarkStart w:id="7" w:name="_Hlk32825650"/>
    </w:p>
    <w:bookmarkEnd w:id="7"/>
    <w:p w14:paraId="0B035FB3" w14:textId="77777777" w:rsidR="003A3E4B" w:rsidRPr="009B0381" w:rsidRDefault="009B0381" w:rsidP="009B0381">
      <w:pPr>
        <w:pStyle w:val="Estilo2Car"/>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9B0381">
        <w:rPr>
          <w:rFonts w:asciiTheme="majorHAnsi" w:hAnsiTheme="majorHAnsi" w:cstheme="majorHAnsi"/>
        </w:rPr>
        <w:t>MÉTODO DE EVALUACIÓN</w:t>
      </w:r>
    </w:p>
    <w:p w14:paraId="1B7B1A84" w14:textId="77777777" w:rsidR="003A3E4B" w:rsidRPr="00906E14" w:rsidRDefault="00795896" w:rsidP="00636C3A">
      <w:pPr>
        <w:pStyle w:val="Hipervnculo"/>
        <w:jc w:val="both"/>
        <w:rPr>
          <w:rFonts w:asciiTheme="majorHAnsi" w:hAnsiTheme="majorHAnsi" w:cstheme="majorHAnsi"/>
          <w:i/>
          <w:u w:val="single"/>
        </w:rPr>
      </w:pPr>
      <w:r w:rsidRPr="00966C25">
        <w:rPr>
          <w:rFonts w:asciiTheme="majorHAnsi" w:hAnsiTheme="majorHAnsi" w:cstheme="majorHAnsi"/>
        </w:rPr>
        <w:t>E</w:t>
      </w:r>
      <w:r w:rsidR="003A3E4B" w:rsidRPr="00966C25">
        <w:rPr>
          <w:rFonts w:asciiTheme="majorHAnsi" w:hAnsiTheme="majorHAnsi" w:cstheme="majorHAnsi"/>
        </w:rPr>
        <w:t>l método</w:t>
      </w:r>
      <w:r w:rsidR="002C5357" w:rsidRPr="00966C25">
        <w:rPr>
          <w:rFonts w:asciiTheme="majorHAnsi" w:hAnsiTheme="majorHAnsi" w:cstheme="majorHAnsi"/>
        </w:rPr>
        <w:t xml:space="preserve"> de evaluación de las ofertas </w:t>
      </w:r>
      <w:r w:rsidR="00E02E8C" w:rsidRPr="00966C25">
        <w:rPr>
          <w:rFonts w:asciiTheme="majorHAnsi" w:hAnsiTheme="majorHAnsi" w:cstheme="majorHAnsi"/>
        </w:rPr>
        <w:t>será</w:t>
      </w:r>
      <w:r w:rsidR="00EE113B" w:rsidRPr="00966C25">
        <w:rPr>
          <w:rFonts w:asciiTheme="majorHAnsi" w:hAnsiTheme="majorHAnsi" w:cstheme="majorHAnsi"/>
        </w:rPr>
        <w:t>:</w:t>
      </w:r>
      <w:r w:rsidR="00EE113B" w:rsidRPr="006A7C40">
        <w:rPr>
          <w:rFonts w:asciiTheme="majorHAnsi" w:hAnsiTheme="majorHAnsi" w:cstheme="majorHAnsi"/>
          <w:i/>
        </w:rPr>
        <w:t xml:space="preserve"> </w:t>
      </w:r>
      <w:r w:rsidRPr="006A7C40">
        <w:rPr>
          <w:rFonts w:asciiTheme="majorHAnsi" w:hAnsiTheme="majorHAnsi" w:cstheme="majorHAnsi"/>
          <w:i/>
        </w:rPr>
        <w:t xml:space="preserve"> </w:t>
      </w:r>
      <w:r w:rsidR="00EE113B" w:rsidRPr="00906E14">
        <w:rPr>
          <w:rFonts w:asciiTheme="majorHAnsi" w:hAnsiTheme="majorHAnsi" w:cstheme="majorHAnsi"/>
          <w:i/>
          <w:u w:val="single"/>
        </w:rPr>
        <w:t>B</w:t>
      </w:r>
      <w:r w:rsidR="0097733B" w:rsidRPr="00906E14">
        <w:rPr>
          <w:rFonts w:asciiTheme="majorHAnsi" w:hAnsiTheme="majorHAnsi" w:cstheme="majorHAnsi"/>
          <w:i/>
          <w:u w:val="single"/>
        </w:rPr>
        <w:t>asada en precio y en cumplimiento de las especificaciones técnicas según informe del</w:t>
      </w:r>
      <w:r w:rsidR="0049184E">
        <w:rPr>
          <w:rFonts w:asciiTheme="majorHAnsi" w:hAnsiTheme="majorHAnsi" w:cstheme="majorHAnsi"/>
          <w:i/>
          <w:u w:val="single"/>
        </w:rPr>
        <w:t xml:space="preserve"> director del proyecto o investigador principal.</w:t>
      </w:r>
    </w:p>
    <w:p w14:paraId="5CB4EE2D" w14:textId="77777777" w:rsidR="00886E79" w:rsidRPr="00370012" w:rsidRDefault="00886E79" w:rsidP="00636C3A">
      <w:pPr>
        <w:pStyle w:val="Hipervnculo"/>
        <w:jc w:val="both"/>
        <w:rPr>
          <w:rFonts w:asciiTheme="majorHAnsi" w:hAnsiTheme="majorHAnsi" w:cstheme="majorHAnsi"/>
          <w:b/>
          <w:i/>
          <w:color w:val="FF0000"/>
          <w:highlight w:val="yellow"/>
        </w:rPr>
      </w:pPr>
    </w:p>
    <w:p w14:paraId="24222557" w14:textId="77777777" w:rsidR="003A3E4B" w:rsidRPr="00370012" w:rsidRDefault="00015BDE" w:rsidP="00015BDE">
      <w:pPr>
        <w:pStyle w:val="Estilo2Car"/>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lastRenderedPageBreak/>
        <w:t>ANÁLISIS DE LOS PRECIOS OFERTADOS</w:t>
      </w:r>
    </w:p>
    <w:p w14:paraId="4CFF5126" w14:textId="77777777" w:rsidR="003A3E4B" w:rsidRPr="00370012" w:rsidRDefault="003A3E4B" w:rsidP="00636C3A">
      <w:pPr>
        <w:spacing w:after="0"/>
        <w:jc w:val="both"/>
        <w:rPr>
          <w:rFonts w:asciiTheme="majorHAnsi" w:hAnsiTheme="majorHAnsi" w:cstheme="majorHAnsi"/>
        </w:rPr>
      </w:pPr>
      <w:r w:rsidRPr="00370012">
        <w:rPr>
          <w:rFonts w:asciiTheme="majorHAnsi" w:hAnsiTheme="majorHAnsi" w:cstheme="majorHAnsi"/>
        </w:rPr>
        <w:t>La evaluación de ofertas con el criterio basado únicamente en precio, luego de haber realizado la corrección de errores aritméticos y de ordenar las ofertas presentadas de menor a mayor, el Comité de Evaluación procederá a solicitar a los oferentes una explicación detallada de la composición del precio ofertado de cada ítem, rubro o partida adjudicable, conforme al siguiente parámetro:</w:t>
      </w:r>
    </w:p>
    <w:p w14:paraId="79D8F0C6" w14:textId="77777777" w:rsidR="003A3E4B" w:rsidRPr="003328EF" w:rsidRDefault="003A3E4B" w:rsidP="00636C3A">
      <w:pPr>
        <w:spacing w:after="0"/>
        <w:jc w:val="both"/>
        <w:rPr>
          <w:rFonts w:asciiTheme="majorHAnsi" w:hAnsiTheme="majorHAnsi" w:cstheme="majorHAnsi"/>
          <w:b/>
          <w:i/>
          <w:u w:val="single"/>
        </w:rPr>
      </w:pPr>
      <w:r w:rsidRPr="003328EF">
        <w:rPr>
          <w:rFonts w:asciiTheme="majorHAnsi" w:hAnsiTheme="majorHAnsi" w:cstheme="majorHAnsi"/>
          <w:b/>
          <w:i/>
          <w:u w:val="single"/>
        </w:rPr>
        <w:t>En contrataciones en general: cuando la diferencia entre el precio ofertado y el precio referencial sea superior al 25% para ofertas por debajo del precio referencial y del 15% para ofertas que se encuentren por encima del referencial establecido por la convocante y difundido con el llamado a contratación.</w:t>
      </w:r>
    </w:p>
    <w:p w14:paraId="1299D132" w14:textId="77777777" w:rsidR="003A3E4B" w:rsidRPr="00370012" w:rsidRDefault="003A3E4B" w:rsidP="00636C3A">
      <w:pPr>
        <w:spacing w:after="0"/>
        <w:jc w:val="both"/>
        <w:rPr>
          <w:rFonts w:asciiTheme="majorHAnsi" w:hAnsiTheme="majorHAnsi" w:cstheme="majorHAnsi"/>
        </w:rPr>
      </w:pPr>
      <w:r w:rsidRPr="00370012">
        <w:rPr>
          <w:rFonts w:asciiTheme="majorHAnsi" w:hAnsiTheme="majorHAnsi" w:cstheme="majorHAnsi"/>
        </w:rPr>
        <w:t xml:space="preserve">Si el oferente no respondiese la solicitud, o la respuesta no sea suficiente para justificar el precio ofertado del bien o </w:t>
      </w:r>
      <w:r w:rsidR="00515A25">
        <w:rPr>
          <w:rFonts w:asciiTheme="majorHAnsi" w:hAnsiTheme="majorHAnsi" w:cstheme="majorHAnsi"/>
        </w:rPr>
        <w:t>insumo</w:t>
      </w:r>
      <w:r w:rsidRPr="00370012">
        <w:rPr>
          <w:rFonts w:asciiTheme="majorHAnsi" w:hAnsiTheme="majorHAnsi" w:cstheme="majorHAnsi"/>
        </w:rPr>
        <w:t>, el precio será declarado inaceptable y la oferta rechazada.</w:t>
      </w:r>
    </w:p>
    <w:p w14:paraId="31FB28FB" w14:textId="77777777" w:rsidR="003A3E4B" w:rsidRPr="00370012" w:rsidRDefault="003A3E4B" w:rsidP="00636C3A">
      <w:pPr>
        <w:spacing w:after="0"/>
        <w:jc w:val="both"/>
        <w:rPr>
          <w:rFonts w:asciiTheme="majorHAnsi" w:hAnsiTheme="majorHAnsi" w:cstheme="majorHAnsi"/>
        </w:rPr>
      </w:pPr>
      <w:r w:rsidRPr="00370012">
        <w:rPr>
          <w:rFonts w:asciiTheme="majorHAnsi" w:hAnsiTheme="majorHAnsi" w:cstheme="majorHAnsi"/>
        </w:rPr>
        <w:t>El análisis de los precios, con esta metodología, será aplicado a cada ítem, rubro o partida que componga la oferta y en cada caso deberá ser debidamente fundada la decisión adoptada por la Convocante en el ejercicio de su facultad discrecional.</w:t>
      </w:r>
      <w:r w:rsidR="00435343" w:rsidRPr="00370012">
        <w:rPr>
          <w:rFonts w:asciiTheme="majorHAnsi" w:hAnsiTheme="majorHAnsi" w:cstheme="majorHAnsi"/>
        </w:rPr>
        <w:t xml:space="preserve"> </w:t>
      </w:r>
      <w:r w:rsidRPr="00370012">
        <w:rPr>
          <w:rFonts w:asciiTheme="majorHAnsi" w:hAnsiTheme="majorHAnsi" w:cstheme="majorHAnsi"/>
        </w:rPr>
        <w:t>Para la evaluación de ofertas basada en la multiplicidad de criterios, en cuanto al análisis del precio se podrá considerar el parámetro dispuesto en el presente apartado.</w:t>
      </w:r>
    </w:p>
    <w:p w14:paraId="0B5FF968" w14:textId="77777777" w:rsidR="003A3E4B" w:rsidRPr="00370012" w:rsidRDefault="00FC3795" w:rsidP="00FC3795">
      <w:pPr>
        <w:pStyle w:val="Estilo2Car"/>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COMPOSICIÓN DE PRECIOS</w:t>
      </w:r>
    </w:p>
    <w:p w14:paraId="7BEFC48C" w14:textId="77777777" w:rsidR="003A3E4B" w:rsidRPr="00370012" w:rsidRDefault="003A3E4B" w:rsidP="00636C3A">
      <w:pPr>
        <w:tabs>
          <w:tab w:val="left" w:pos="284"/>
        </w:tabs>
        <w:rPr>
          <w:rFonts w:asciiTheme="majorHAnsi" w:hAnsiTheme="majorHAnsi" w:cstheme="majorHAnsi"/>
        </w:rPr>
      </w:pPr>
      <w:r w:rsidRPr="00370012">
        <w:rPr>
          <w:rFonts w:asciiTheme="majorHAnsi" w:hAnsiTheme="majorHAnsi" w:cstheme="majorHAnsi"/>
        </w:rPr>
        <w:t>La estructura mínima del desglose de composición de los precios, será:</w:t>
      </w:r>
    </w:p>
    <w:tbl>
      <w:tblPr>
        <w:tblW w:w="4899"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1478"/>
        <w:gridCol w:w="2137"/>
        <w:gridCol w:w="773"/>
        <w:gridCol w:w="979"/>
        <w:gridCol w:w="624"/>
        <w:gridCol w:w="2299"/>
      </w:tblGrid>
      <w:tr w:rsidR="00D85DEB" w:rsidRPr="00E35D54" w14:paraId="3FF00369" w14:textId="77777777" w:rsidTr="00D85DEB">
        <w:tc>
          <w:tcPr>
            <w:tcW w:w="205" w:type="pct"/>
            <w:tcBorders>
              <w:top w:val="outset" w:sz="6" w:space="0" w:color="auto"/>
              <w:left w:val="outset" w:sz="6" w:space="0" w:color="auto"/>
              <w:bottom w:val="outset" w:sz="6" w:space="0" w:color="auto"/>
              <w:right w:val="outset" w:sz="6" w:space="0" w:color="auto"/>
            </w:tcBorders>
            <w:noWrap/>
            <w:vAlign w:val="bottom"/>
            <w:hideMark/>
          </w:tcPr>
          <w:p w14:paraId="385430C9"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Ítem</w:t>
            </w:r>
          </w:p>
        </w:tc>
        <w:tc>
          <w:tcPr>
            <w:tcW w:w="855" w:type="pct"/>
            <w:tcBorders>
              <w:top w:val="outset" w:sz="6" w:space="0" w:color="auto"/>
              <w:left w:val="outset" w:sz="6" w:space="0" w:color="auto"/>
              <w:bottom w:val="outset" w:sz="6" w:space="0" w:color="auto"/>
              <w:right w:val="outset" w:sz="6" w:space="0" w:color="auto"/>
            </w:tcBorders>
            <w:noWrap/>
            <w:vAlign w:val="bottom"/>
            <w:hideMark/>
          </w:tcPr>
          <w:p w14:paraId="10E067AA"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Descripción del Bien</w:t>
            </w:r>
          </w:p>
        </w:tc>
        <w:tc>
          <w:tcPr>
            <w:tcW w:w="1236" w:type="pct"/>
            <w:tcBorders>
              <w:top w:val="outset" w:sz="6" w:space="0" w:color="auto"/>
              <w:left w:val="outset" w:sz="6" w:space="0" w:color="auto"/>
              <w:bottom w:val="outset" w:sz="6" w:space="0" w:color="auto"/>
              <w:right w:val="outset" w:sz="6" w:space="0" w:color="auto"/>
            </w:tcBorders>
            <w:noWrap/>
            <w:vAlign w:val="bottom"/>
            <w:hideMark/>
          </w:tcPr>
          <w:p w14:paraId="0BF593AB"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Precio costo con el proveedor  </w:t>
            </w:r>
          </w:p>
        </w:tc>
        <w:tc>
          <w:tcPr>
            <w:tcW w:w="447" w:type="pct"/>
            <w:tcBorders>
              <w:top w:val="outset" w:sz="6" w:space="0" w:color="auto"/>
              <w:left w:val="outset" w:sz="6" w:space="0" w:color="auto"/>
              <w:bottom w:val="outset" w:sz="6" w:space="0" w:color="auto"/>
              <w:right w:val="outset" w:sz="6" w:space="0" w:color="auto"/>
            </w:tcBorders>
            <w:noWrap/>
            <w:vAlign w:val="bottom"/>
            <w:hideMark/>
          </w:tcPr>
          <w:p w14:paraId="672EAF5B"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Impuestos</w:t>
            </w:r>
          </w:p>
        </w:tc>
        <w:tc>
          <w:tcPr>
            <w:tcW w:w="566" w:type="pct"/>
            <w:tcBorders>
              <w:top w:val="outset" w:sz="6" w:space="0" w:color="auto"/>
              <w:left w:val="outset" w:sz="6" w:space="0" w:color="auto"/>
              <w:bottom w:val="outset" w:sz="6" w:space="0" w:color="auto"/>
              <w:right w:val="outset" w:sz="6" w:space="0" w:color="auto"/>
            </w:tcBorders>
            <w:noWrap/>
            <w:vAlign w:val="bottom"/>
            <w:hideMark/>
          </w:tcPr>
          <w:p w14:paraId="050A24A8"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Gastos varios</w:t>
            </w:r>
          </w:p>
        </w:tc>
        <w:tc>
          <w:tcPr>
            <w:tcW w:w="361" w:type="pct"/>
            <w:tcBorders>
              <w:top w:val="outset" w:sz="6" w:space="0" w:color="auto"/>
              <w:left w:val="outset" w:sz="6" w:space="0" w:color="auto"/>
              <w:bottom w:val="outset" w:sz="6" w:space="0" w:color="auto"/>
              <w:right w:val="outset" w:sz="6" w:space="0" w:color="auto"/>
            </w:tcBorders>
            <w:noWrap/>
            <w:vAlign w:val="bottom"/>
            <w:hideMark/>
          </w:tcPr>
          <w:p w14:paraId="712CF867"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Utilidad </w:t>
            </w:r>
          </w:p>
        </w:tc>
        <w:tc>
          <w:tcPr>
            <w:tcW w:w="1330" w:type="pct"/>
            <w:tcBorders>
              <w:top w:val="outset" w:sz="6" w:space="0" w:color="auto"/>
              <w:left w:val="outset" w:sz="6" w:space="0" w:color="auto"/>
              <w:bottom w:val="outset" w:sz="6" w:space="0" w:color="auto"/>
              <w:right w:val="outset" w:sz="6" w:space="0" w:color="auto"/>
            </w:tcBorders>
            <w:noWrap/>
            <w:vAlign w:val="bottom"/>
            <w:hideMark/>
          </w:tcPr>
          <w:p w14:paraId="65426A2C" w14:textId="77777777" w:rsidR="00D85DEB" w:rsidRPr="00E35D54" w:rsidRDefault="00D85DEB" w:rsidP="00E35D54">
            <w:pPr>
              <w:tabs>
                <w:tab w:val="left" w:pos="284"/>
              </w:tabs>
              <w:spacing w:after="0"/>
              <w:jc w:val="both"/>
              <w:rPr>
                <w:rFonts w:asciiTheme="majorHAnsi" w:hAnsiTheme="majorHAnsi" w:cstheme="majorHAnsi"/>
                <w:sz w:val="16"/>
                <w:szCs w:val="16"/>
                <w:shd w:val="clear" w:color="auto" w:fill="FFFFFF"/>
              </w:rPr>
            </w:pPr>
            <w:r w:rsidRPr="00E35D54">
              <w:rPr>
                <w:rFonts w:asciiTheme="majorHAnsi" w:hAnsiTheme="majorHAnsi" w:cstheme="majorHAnsi"/>
                <w:sz w:val="16"/>
                <w:szCs w:val="16"/>
                <w:shd w:val="clear" w:color="auto" w:fill="FFFFFF"/>
              </w:rPr>
              <w:t>Precio Unitario (Iva incluido)      </w:t>
            </w:r>
          </w:p>
        </w:tc>
      </w:tr>
      <w:tr w:rsidR="00D85DEB" w:rsidRPr="00E35D54" w14:paraId="6D2F86DE" w14:textId="77777777" w:rsidTr="00D85DEB">
        <w:trPr>
          <w:trHeight w:val="183"/>
        </w:trPr>
        <w:tc>
          <w:tcPr>
            <w:tcW w:w="205" w:type="pct"/>
            <w:tcBorders>
              <w:top w:val="outset" w:sz="6" w:space="0" w:color="auto"/>
              <w:left w:val="outset" w:sz="6" w:space="0" w:color="auto"/>
              <w:bottom w:val="outset" w:sz="6" w:space="0" w:color="auto"/>
              <w:right w:val="outset" w:sz="6" w:space="0" w:color="auto"/>
            </w:tcBorders>
            <w:noWrap/>
            <w:vAlign w:val="bottom"/>
          </w:tcPr>
          <w:p w14:paraId="75BF9C6C"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855" w:type="pct"/>
            <w:tcBorders>
              <w:top w:val="outset" w:sz="6" w:space="0" w:color="auto"/>
              <w:left w:val="outset" w:sz="6" w:space="0" w:color="auto"/>
              <w:bottom w:val="outset" w:sz="6" w:space="0" w:color="auto"/>
              <w:right w:val="outset" w:sz="6" w:space="0" w:color="auto"/>
            </w:tcBorders>
            <w:noWrap/>
            <w:vAlign w:val="bottom"/>
          </w:tcPr>
          <w:p w14:paraId="52E0CDCD"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1236" w:type="pct"/>
            <w:tcBorders>
              <w:top w:val="outset" w:sz="6" w:space="0" w:color="auto"/>
              <w:left w:val="outset" w:sz="6" w:space="0" w:color="auto"/>
              <w:bottom w:val="outset" w:sz="6" w:space="0" w:color="auto"/>
              <w:right w:val="outset" w:sz="6" w:space="0" w:color="auto"/>
            </w:tcBorders>
            <w:noWrap/>
            <w:vAlign w:val="bottom"/>
          </w:tcPr>
          <w:p w14:paraId="154400F9"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447" w:type="pct"/>
            <w:tcBorders>
              <w:top w:val="outset" w:sz="6" w:space="0" w:color="auto"/>
              <w:left w:val="outset" w:sz="6" w:space="0" w:color="auto"/>
              <w:bottom w:val="outset" w:sz="6" w:space="0" w:color="auto"/>
              <w:right w:val="outset" w:sz="6" w:space="0" w:color="auto"/>
            </w:tcBorders>
            <w:noWrap/>
            <w:vAlign w:val="bottom"/>
          </w:tcPr>
          <w:p w14:paraId="6CE61F94"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566" w:type="pct"/>
            <w:tcBorders>
              <w:top w:val="outset" w:sz="6" w:space="0" w:color="auto"/>
              <w:left w:val="outset" w:sz="6" w:space="0" w:color="auto"/>
              <w:bottom w:val="outset" w:sz="6" w:space="0" w:color="auto"/>
              <w:right w:val="outset" w:sz="6" w:space="0" w:color="auto"/>
            </w:tcBorders>
            <w:noWrap/>
            <w:vAlign w:val="bottom"/>
          </w:tcPr>
          <w:p w14:paraId="535669C6"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361" w:type="pct"/>
            <w:tcBorders>
              <w:top w:val="outset" w:sz="6" w:space="0" w:color="auto"/>
              <w:left w:val="outset" w:sz="6" w:space="0" w:color="auto"/>
              <w:bottom w:val="outset" w:sz="6" w:space="0" w:color="auto"/>
              <w:right w:val="outset" w:sz="6" w:space="0" w:color="auto"/>
            </w:tcBorders>
            <w:noWrap/>
            <w:vAlign w:val="bottom"/>
          </w:tcPr>
          <w:p w14:paraId="3524B842"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c>
          <w:tcPr>
            <w:tcW w:w="1330" w:type="pct"/>
            <w:tcBorders>
              <w:top w:val="outset" w:sz="6" w:space="0" w:color="auto"/>
              <w:left w:val="outset" w:sz="6" w:space="0" w:color="auto"/>
              <w:bottom w:val="outset" w:sz="6" w:space="0" w:color="auto"/>
              <w:right w:val="outset" w:sz="6" w:space="0" w:color="auto"/>
            </w:tcBorders>
            <w:noWrap/>
            <w:vAlign w:val="bottom"/>
          </w:tcPr>
          <w:p w14:paraId="5CBD81F5" w14:textId="77777777" w:rsidR="00D85DEB" w:rsidRPr="00E35D54" w:rsidRDefault="00D85DEB" w:rsidP="00E35D54">
            <w:pPr>
              <w:tabs>
                <w:tab w:val="left" w:pos="284"/>
              </w:tabs>
              <w:jc w:val="both"/>
              <w:rPr>
                <w:rFonts w:asciiTheme="majorHAnsi" w:hAnsiTheme="majorHAnsi" w:cstheme="majorHAnsi"/>
                <w:sz w:val="16"/>
                <w:szCs w:val="16"/>
                <w:shd w:val="clear" w:color="auto" w:fill="FFFFFF"/>
              </w:rPr>
            </w:pPr>
          </w:p>
        </w:tc>
      </w:tr>
    </w:tbl>
    <w:p w14:paraId="5355DDF2" w14:textId="77777777" w:rsidR="003A3E4B" w:rsidRPr="00370012" w:rsidRDefault="003A3E4B" w:rsidP="00D85DEB">
      <w:pPr>
        <w:tabs>
          <w:tab w:val="left" w:pos="284"/>
        </w:tabs>
        <w:spacing w:before="120"/>
        <w:jc w:val="both"/>
        <w:rPr>
          <w:rFonts w:asciiTheme="majorHAnsi" w:hAnsiTheme="majorHAnsi" w:cstheme="majorHAnsi"/>
        </w:rPr>
      </w:pPr>
      <w:r w:rsidRPr="00370012">
        <w:rPr>
          <w:rFonts w:asciiTheme="majorHAnsi" w:hAnsiTheme="majorHAnsi" w:cstheme="majorHAnsi"/>
        </w:rPr>
        <w:t>El oferente podrá presentar junto con su oferta el desglose de composición de precios, cuando</w:t>
      </w:r>
      <w:r w:rsidRPr="00370012">
        <w:rPr>
          <w:rFonts w:asciiTheme="majorHAnsi" w:hAnsiTheme="majorHAnsi" w:cstheme="majorHAnsi"/>
          <w:shd w:val="clear" w:color="auto" w:fill="FFFFFF"/>
        </w:rPr>
        <w:t xml:space="preserve"> su oferta se encuentre fuera de los parámetros establecidos en la cláusula anterior. </w:t>
      </w:r>
    </w:p>
    <w:p w14:paraId="20306AF4" w14:textId="77777777" w:rsidR="00911CE8" w:rsidRPr="004B6A6D" w:rsidRDefault="00911CE8" w:rsidP="00911CE8">
      <w:pPr>
        <w:pStyle w:val="Estilo2Car"/>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bookmarkStart w:id="8" w:name="_Hlk32217545"/>
      <w:bookmarkStart w:id="9" w:name="_Hlk32826143"/>
      <w:r w:rsidRPr="00370012">
        <w:rPr>
          <w:rFonts w:asciiTheme="majorHAnsi" w:hAnsiTheme="majorHAnsi" w:cstheme="majorHAnsi"/>
        </w:rPr>
        <w:t>REQUISITOS DOCUMENTALES PARA LA EVALUACIÓN DE LAS CONDICIONES DE PARTICIPACIÓN</w:t>
      </w:r>
    </w:p>
    <w:p w14:paraId="7C83C48A" w14:textId="77777777" w:rsidR="00911CE8" w:rsidRPr="00370012" w:rsidRDefault="00911CE8" w:rsidP="00911CE8">
      <w:pPr>
        <w:pStyle w:val="Sinespaciado"/>
        <w:spacing w:line="276" w:lineRule="auto"/>
        <w:ind w:left="426"/>
        <w:jc w:val="both"/>
        <w:rPr>
          <w:rFonts w:asciiTheme="majorHAnsi" w:hAnsiTheme="majorHAnsi" w:cstheme="majorHAnsi"/>
          <w:b w:val="0"/>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911CE8" w:rsidRPr="00C604CB" w14:paraId="3D2A90CD" w14:textId="77777777" w:rsidTr="00C71EAB">
        <w:trPr>
          <w:trHeight w:val="123"/>
          <w:jc w:val="center"/>
        </w:trPr>
        <w:tc>
          <w:tcPr>
            <w:tcW w:w="8647" w:type="dxa"/>
          </w:tcPr>
          <w:p w14:paraId="6617E149" w14:textId="703D5D0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hAnsiTheme="majorHAnsi" w:cstheme="majorHAnsi"/>
                <w:b/>
                <w:i/>
              </w:rPr>
              <w:t xml:space="preserve">Carta o Formulario de </w:t>
            </w:r>
            <w:r w:rsidR="00C531D4" w:rsidRPr="00C604CB">
              <w:rPr>
                <w:rFonts w:asciiTheme="majorHAnsi" w:hAnsiTheme="majorHAnsi" w:cstheme="majorHAnsi"/>
                <w:b/>
                <w:i/>
              </w:rPr>
              <w:t>Oferta debidamente</w:t>
            </w:r>
            <w:r w:rsidRPr="00C604CB">
              <w:rPr>
                <w:rFonts w:asciiTheme="majorHAnsi" w:hAnsiTheme="majorHAnsi" w:cstheme="majorHAnsi"/>
                <w:b/>
                <w:i/>
              </w:rPr>
              <w:t xml:space="preserve"> extendida y la lista de precios (*)</w:t>
            </w:r>
          </w:p>
        </w:tc>
      </w:tr>
      <w:tr w:rsidR="00911CE8" w:rsidRPr="00C604CB" w14:paraId="5273DE55" w14:textId="77777777" w:rsidTr="00C71EAB">
        <w:trPr>
          <w:trHeight w:val="123"/>
          <w:jc w:val="center"/>
        </w:trPr>
        <w:tc>
          <w:tcPr>
            <w:tcW w:w="8647" w:type="dxa"/>
          </w:tcPr>
          <w:p w14:paraId="2501D5CD"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hAnsiTheme="majorHAnsi" w:cstheme="majorHAnsi"/>
                <w:b/>
                <w:i/>
              </w:rPr>
              <w:t>Documentos que acrediten la existencia y facultades del firmante de la oferta (*)</w:t>
            </w:r>
          </w:p>
        </w:tc>
      </w:tr>
      <w:tr w:rsidR="00911CE8" w:rsidRPr="00C604CB" w14:paraId="292CD54D" w14:textId="77777777" w:rsidTr="00C71EAB">
        <w:trPr>
          <w:trHeight w:val="123"/>
          <w:jc w:val="center"/>
        </w:trPr>
        <w:tc>
          <w:tcPr>
            <w:tcW w:w="8647" w:type="dxa"/>
          </w:tcPr>
          <w:p w14:paraId="422539F2" w14:textId="77777777" w:rsidR="00911CE8" w:rsidRPr="00C604CB" w:rsidRDefault="00911CE8" w:rsidP="00C71EAB">
            <w:pPr>
              <w:spacing w:after="0" w:line="240" w:lineRule="auto"/>
              <w:ind w:left="360"/>
              <w:jc w:val="both"/>
              <w:rPr>
                <w:rFonts w:asciiTheme="majorHAnsi" w:hAnsiTheme="majorHAnsi" w:cstheme="majorHAnsi"/>
                <w:b/>
                <w:i/>
              </w:rPr>
            </w:pPr>
            <w:r w:rsidRPr="00C604CB">
              <w:rPr>
                <w:rFonts w:asciiTheme="majorHAnsi" w:hAnsiTheme="majorHAnsi" w:cstheme="majorHAnsi"/>
                <w:b/>
                <w:i/>
              </w:rPr>
              <w:t>Documentos legales. Oferentes</w:t>
            </w:r>
          </w:p>
        </w:tc>
      </w:tr>
      <w:tr w:rsidR="00911CE8" w:rsidRPr="00C604CB" w14:paraId="69F793B0" w14:textId="77777777" w:rsidTr="00C71EAB">
        <w:trPr>
          <w:trHeight w:val="174"/>
          <w:jc w:val="center"/>
        </w:trPr>
        <w:tc>
          <w:tcPr>
            <w:tcW w:w="8647" w:type="dxa"/>
            <w:tcBorders>
              <w:top w:val="single" w:sz="4" w:space="0" w:color="auto"/>
              <w:left w:val="single" w:sz="4" w:space="0" w:color="auto"/>
              <w:bottom w:val="single" w:sz="4" w:space="0" w:color="auto"/>
              <w:right w:val="single" w:sz="4" w:space="0" w:color="auto"/>
            </w:tcBorders>
          </w:tcPr>
          <w:p w14:paraId="37FFC364" w14:textId="77777777" w:rsidR="00911CE8" w:rsidRPr="00C604CB" w:rsidRDefault="00911CE8" w:rsidP="00C71EAB">
            <w:pPr>
              <w:spacing w:after="0" w:line="240" w:lineRule="auto"/>
              <w:ind w:firstLine="447"/>
              <w:jc w:val="both"/>
              <w:rPr>
                <w:rFonts w:asciiTheme="majorHAnsi" w:hAnsiTheme="majorHAnsi" w:cstheme="majorHAnsi"/>
                <w:b/>
                <w:i/>
                <w:iCs/>
                <w:lang w:val="es-ES" w:eastAsia="es-ES"/>
              </w:rPr>
            </w:pPr>
            <w:r w:rsidRPr="00C604CB">
              <w:rPr>
                <w:rFonts w:asciiTheme="majorHAnsi" w:hAnsiTheme="majorHAnsi" w:cstheme="majorHAnsi"/>
                <w:b/>
                <w:i/>
                <w:lang w:val="es-ES" w:eastAsia="es-ES"/>
              </w:rPr>
              <w:t>b.1.</w:t>
            </w:r>
            <w:r w:rsidRPr="00C604CB">
              <w:rPr>
                <w:rFonts w:asciiTheme="majorHAnsi" w:hAnsiTheme="majorHAnsi" w:cstheme="majorHAnsi"/>
                <w:b/>
                <w:i/>
                <w:iCs/>
                <w:lang w:val="es-ES" w:eastAsia="es-ES"/>
              </w:rPr>
              <w:t>Personas Físicas.</w:t>
            </w:r>
          </w:p>
        </w:tc>
      </w:tr>
      <w:tr w:rsidR="00911CE8" w:rsidRPr="00C604CB" w14:paraId="78B49FCF"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59E9C843" w14:textId="77777777" w:rsidR="00911CE8" w:rsidRPr="00C604CB" w:rsidRDefault="00911CE8" w:rsidP="00C71EAB">
            <w:pPr>
              <w:pStyle w:val="Ttulo2Car"/>
              <w:numPr>
                <w:ilvl w:val="2"/>
                <w:numId w:val="7"/>
              </w:numPr>
              <w:spacing w:line="240" w:lineRule="auto"/>
              <w:ind w:left="454"/>
              <w:rPr>
                <w:rFonts w:asciiTheme="majorHAnsi" w:hAnsiTheme="majorHAnsi" w:cstheme="majorHAnsi"/>
                <w:b/>
                <w:i/>
                <w:iCs/>
                <w:lang w:val="es-ES" w:eastAsia="es-ES"/>
              </w:rPr>
            </w:pPr>
            <w:r w:rsidRPr="00C604CB">
              <w:rPr>
                <w:rFonts w:asciiTheme="majorHAnsi" w:hAnsiTheme="majorHAnsi" w:cstheme="majorHAnsi"/>
                <w:b/>
                <w:i/>
                <w:iCs/>
                <w:lang w:val="es-ES" w:eastAsia="es-ES"/>
              </w:rPr>
              <w:t>Fotocopia simple de la Cédula de Identidad del firmante de la oferta. (*)</w:t>
            </w:r>
          </w:p>
        </w:tc>
      </w:tr>
      <w:tr w:rsidR="00911CE8" w:rsidRPr="00C604CB" w14:paraId="3F76F258"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4463B080" w14:textId="151631CB" w:rsidR="00911CE8" w:rsidRPr="00C604CB" w:rsidRDefault="00911CE8" w:rsidP="00C71EAB">
            <w:pPr>
              <w:pStyle w:val="Ttulo2Car"/>
              <w:numPr>
                <w:ilvl w:val="2"/>
                <w:numId w:val="7"/>
              </w:numPr>
              <w:spacing w:line="240" w:lineRule="auto"/>
              <w:ind w:left="454"/>
              <w:rPr>
                <w:rFonts w:asciiTheme="majorHAnsi" w:hAnsiTheme="majorHAnsi" w:cstheme="majorHAnsi"/>
                <w:b/>
                <w:i/>
                <w:iCs/>
                <w:lang w:val="es-ES" w:eastAsia="es-ES"/>
              </w:rPr>
            </w:pPr>
            <w:r w:rsidRPr="00C604CB">
              <w:rPr>
                <w:rFonts w:asciiTheme="majorHAnsi" w:hAnsiTheme="majorHAnsi" w:cstheme="majorHAnsi"/>
                <w:b/>
                <w:i/>
                <w:iCs/>
                <w:lang w:val="es-ES" w:eastAsia="es-ES"/>
              </w:rPr>
              <w:t xml:space="preserve">En el caso que suscriba la oferta otra persona en su representación, deberá acompañar una fotocopia simple de su cédula de identidad y una fotocopia simple del poder suficiente otorgado por Escritura Pública para presentar la oferta y representarlo en los actos de la </w:t>
            </w:r>
            <w:r w:rsidR="00DA25BC">
              <w:rPr>
                <w:rFonts w:asciiTheme="majorHAnsi" w:hAnsiTheme="majorHAnsi" w:cstheme="majorHAnsi"/>
                <w:b/>
                <w:i/>
                <w:iCs/>
                <w:lang w:val="es-ES" w:eastAsia="es-ES"/>
              </w:rPr>
              <w:t>procedimiento de adquisición</w:t>
            </w:r>
            <w:r w:rsidRPr="00C604CB">
              <w:rPr>
                <w:rFonts w:asciiTheme="majorHAnsi" w:hAnsiTheme="majorHAnsi" w:cstheme="majorHAnsi"/>
                <w:b/>
                <w:i/>
                <w:iCs/>
                <w:lang w:val="es-ES" w:eastAsia="es-ES"/>
              </w:rPr>
              <w:t>. No es necesario que el poder esté inscripto en el Registro de Poderes.(*)</w:t>
            </w:r>
          </w:p>
        </w:tc>
      </w:tr>
      <w:tr w:rsidR="00911CE8" w:rsidRPr="00C604CB" w14:paraId="057DACEF"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513BFD9F" w14:textId="77777777" w:rsidR="00911CE8" w:rsidRPr="00C604CB" w:rsidRDefault="00911CE8" w:rsidP="00C71EAB">
            <w:pPr>
              <w:spacing w:after="0" w:line="240" w:lineRule="auto"/>
              <w:ind w:firstLine="447"/>
              <w:jc w:val="both"/>
              <w:rPr>
                <w:rFonts w:asciiTheme="majorHAnsi" w:hAnsiTheme="majorHAnsi" w:cstheme="majorHAnsi"/>
                <w:b/>
                <w:i/>
                <w:lang w:val="es-ES" w:eastAsia="es-ES"/>
              </w:rPr>
            </w:pPr>
            <w:r w:rsidRPr="00C604CB">
              <w:rPr>
                <w:rFonts w:asciiTheme="majorHAnsi" w:hAnsiTheme="majorHAnsi" w:cstheme="majorHAnsi"/>
                <w:b/>
                <w:i/>
                <w:lang w:val="es-ES" w:eastAsia="es-ES"/>
              </w:rPr>
              <w:t>b.2. Personas Jurídicas.</w:t>
            </w:r>
          </w:p>
        </w:tc>
      </w:tr>
      <w:tr w:rsidR="00911CE8" w:rsidRPr="00C604CB" w14:paraId="1A7CC135" w14:textId="77777777" w:rsidTr="00C71EAB">
        <w:trPr>
          <w:trHeight w:val="1060"/>
          <w:jc w:val="center"/>
        </w:trPr>
        <w:tc>
          <w:tcPr>
            <w:tcW w:w="8647" w:type="dxa"/>
            <w:tcBorders>
              <w:top w:val="single" w:sz="4" w:space="0" w:color="auto"/>
              <w:left w:val="single" w:sz="4" w:space="0" w:color="auto"/>
              <w:bottom w:val="single" w:sz="4" w:space="0" w:color="auto"/>
              <w:right w:val="single" w:sz="4" w:space="0" w:color="auto"/>
            </w:tcBorders>
          </w:tcPr>
          <w:p w14:paraId="415FFD14" w14:textId="77777777" w:rsidR="00911CE8" w:rsidRPr="00C604CB" w:rsidRDefault="00911CE8" w:rsidP="00C71EAB">
            <w:pPr>
              <w:spacing w:after="0" w:line="240" w:lineRule="auto"/>
              <w:ind w:left="360" w:hanging="196"/>
              <w:rPr>
                <w:rFonts w:asciiTheme="majorHAnsi" w:hAnsiTheme="majorHAnsi" w:cstheme="majorHAnsi"/>
                <w:b/>
                <w:i/>
                <w:iCs/>
                <w:lang w:val="es-ES" w:eastAsia="es-ES"/>
              </w:rPr>
            </w:pPr>
            <w:r w:rsidRPr="00C604CB">
              <w:rPr>
                <w:rFonts w:asciiTheme="majorHAnsi" w:hAnsiTheme="majorHAnsi" w:cstheme="majorHAnsi"/>
                <w:b/>
                <w:i/>
                <w:iCs/>
                <w:lang w:val="es-ES" w:eastAsia="es-ES"/>
              </w:rPr>
              <w:t>i.  Fotocopia simple de los documentos que acrediten la existencia legal de la persona jurídica tales como la Escritura Pública de Constitución y protocolización de los Estatutos Sociales. Los estatutos deberán estar inscriptos en la Sección Personas Jurídicas de la Dirección de Registros Públicos.(*)</w:t>
            </w:r>
          </w:p>
        </w:tc>
      </w:tr>
      <w:tr w:rsidR="00911CE8" w:rsidRPr="00C604CB" w14:paraId="6AEEEC62"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3F0CD908" w14:textId="77777777" w:rsidR="00911CE8" w:rsidRPr="00C604CB" w:rsidRDefault="00911CE8" w:rsidP="00C71EAB">
            <w:pPr>
              <w:pStyle w:val="Ttulo2Car"/>
              <w:spacing w:line="240" w:lineRule="auto"/>
              <w:ind w:left="306" w:hanging="142"/>
              <w:rPr>
                <w:rFonts w:asciiTheme="majorHAnsi" w:hAnsiTheme="majorHAnsi" w:cstheme="majorHAnsi"/>
                <w:b/>
                <w:i/>
                <w:iCs/>
                <w:lang w:val="es-ES" w:eastAsia="es-ES"/>
              </w:rPr>
            </w:pPr>
            <w:r w:rsidRPr="00C604CB">
              <w:rPr>
                <w:rFonts w:asciiTheme="majorHAnsi" w:hAnsiTheme="majorHAnsi" w:cstheme="majorHAnsi"/>
                <w:b/>
                <w:i/>
                <w:iCs/>
                <w:lang w:val="es-ES" w:eastAsia="es-ES"/>
              </w:rPr>
              <w:t>ii.  Fotocopia simple de los documentos de identidad de los representantes o apoderados de la sociedad. (*)</w:t>
            </w:r>
          </w:p>
        </w:tc>
      </w:tr>
      <w:tr w:rsidR="00911CE8" w:rsidRPr="00C604CB" w14:paraId="7B9D8B4F"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6AEF5BB1" w14:textId="77777777" w:rsidR="00911CE8" w:rsidRPr="00C604CB" w:rsidRDefault="00911CE8" w:rsidP="00C71EAB">
            <w:pPr>
              <w:pStyle w:val="Ttulo2Car"/>
              <w:spacing w:line="240" w:lineRule="auto"/>
              <w:ind w:left="454" w:hanging="290"/>
              <w:rPr>
                <w:rFonts w:asciiTheme="majorHAnsi" w:hAnsiTheme="majorHAnsi" w:cstheme="majorHAnsi"/>
                <w:b/>
                <w:i/>
                <w:iCs/>
                <w:lang w:val="es-ES" w:eastAsia="es-ES"/>
              </w:rPr>
            </w:pPr>
            <w:r w:rsidRPr="00C604CB">
              <w:rPr>
                <w:rFonts w:asciiTheme="majorHAnsi" w:hAnsiTheme="majorHAnsi" w:cstheme="majorHAnsi"/>
                <w:b/>
                <w:i/>
                <w:iCs/>
                <w:lang w:val="es-ES" w:eastAsia="es-ES"/>
              </w:rPr>
              <w:t>iii. Fotocopia simple de los documentos que acrediten las facultades del firmante de la oferta para comprometer al oferente. Estos documentos pueden consistir en: un poder suficiente otorgado por Escritura Pública (no es necesario que esté inscripto en el Registro de Poderes); o los documentos societarios que justifiquen la representación del firmante, tales como las actas de asamblea y de directorio en el caso de las sociedades anónimas.(*)</w:t>
            </w:r>
          </w:p>
        </w:tc>
      </w:tr>
      <w:tr w:rsidR="00911CE8" w:rsidRPr="00C604CB" w14:paraId="36C8CAFA"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65F65932" w14:textId="77777777" w:rsidR="00911CE8" w:rsidRPr="00C604CB" w:rsidRDefault="00911CE8" w:rsidP="00C71EAB">
            <w:pPr>
              <w:spacing w:after="0" w:line="240" w:lineRule="auto"/>
              <w:ind w:firstLine="447"/>
              <w:jc w:val="both"/>
              <w:rPr>
                <w:rFonts w:asciiTheme="majorHAnsi" w:hAnsiTheme="majorHAnsi" w:cstheme="majorHAnsi"/>
                <w:b/>
                <w:i/>
                <w:lang w:val="es-ES" w:eastAsia="es-ES"/>
              </w:rPr>
            </w:pPr>
            <w:r w:rsidRPr="00C604CB">
              <w:rPr>
                <w:rFonts w:asciiTheme="majorHAnsi" w:hAnsiTheme="majorHAnsi" w:cstheme="majorHAnsi"/>
                <w:b/>
                <w:i/>
                <w:lang w:val="es-ES" w:eastAsia="es-ES"/>
              </w:rPr>
              <w:lastRenderedPageBreak/>
              <w:t>b.3. Oferentes en Consorcio.</w:t>
            </w:r>
          </w:p>
        </w:tc>
      </w:tr>
      <w:tr w:rsidR="00911CE8" w:rsidRPr="00C604CB" w14:paraId="67E293EC"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501F9D4E" w14:textId="77777777" w:rsidR="00911CE8" w:rsidRPr="00C604CB" w:rsidRDefault="00911CE8" w:rsidP="00C71EAB">
            <w:pPr>
              <w:pStyle w:val="Ttulo2Car"/>
              <w:spacing w:line="240" w:lineRule="auto"/>
              <w:ind w:left="454" w:hanging="290"/>
              <w:rPr>
                <w:rFonts w:asciiTheme="majorHAnsi" w:hAnsiTheme="majorHAnsi" w:cstheme="majorHAnsi"/>
                <w:b/>
                <w:i/>
                <w:iCs/>
                <w:lang w:val="es-ES" w:eastAsia="es-ES"/>
              </w:rPr>
            </w:pPr>
            <w:r w:rsidRPr="00C604CB">
              <w:rPr>
                <w:rFonts w:asciiTheme="majorHAnsi" w:hAnsiTheme="majorHAnsi" w:cstheme="majorHAnsi"/>
                <w:b/>
                <w:i/>
                <w:iCs/>
                <w:lang w:val="es-ES" w:eastAsia="es-ES"/>
              </w:rPr>
              <w:t>i.  Cada integrante del consorcio que sea una persona física domiciliada en la República del Paraguay deberá presentar los documentos requeridos para Oferentes Individuales especificados en el apartado Oferentes Individuales. Personas Físicas. Cada integrante del consorcio que sea una persona jurídica domiciliada en Paraguay deberá presentar los documentos requeridos para Oferentes Individuales Personas Jurídicas. (*)</w:t>
            </w:r>
          </w:p>
        </w:tc>
      </w:tr>
      <w:tr w:rsidR="00911CE8" w:rsidRPr="00C604CB" w14:paraId="2BB5771D"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7A51B5B9" w14:textId="77777777" w:rsidR="00911CE8" w:rsidRPr="00C604CB" w:rsidRDefault="00911CE8" w:rsidP="00C71EAB">
            <w:pPr>
              <w:pStyle w:val="Ttulo2Car"/>
              <w:spacing w:line="240" w:lineRule="auto"/>
              <w:ind w:left="454" w:hanging="290"/>
              <w:rPr>
                <w:rFonts w:asciiTheme="majorHAnsi" w:hAnsiTheme="majorHAnsi" w:cstheme="majorHAnsi"/>
                <w:b/>
                <w:i/>
                <w:iCs/>
                <w:lang w:val="es-ES" w:eastAsia="es-ES"/>
              </w:rPr>
            </w:pPr>
            <w:r w:rsidRPr="00C604CB">
              <w:rPr>
                <w:rFonts w:asciiTheme="majorHAnsi" w:hAnsiTheme="majorHAnsi" w:cstheme="majorHAnsi"/>
                <w:b/>
                <w:i/>
                <w:iCs/>
                <w:lang w:val="es-ES" w:eastAsia="es-ES"/>
              </w:rPr>
              <w:t>ii. Original o fotocopia del consorcio constituido o del acuerdo de intención de constituir el consorcio por escritura pública en caso de resultar adjudicados y antes de la firma del contrato. Las formalidades de los acuerdos de intención y de los consorcios serán determinadas por la Dirección Nacional de Contrataciones Públicas (DNCP). (*)</w:t>
            </w:r>
          </w:p>
        </w:tc>
      </w:tr>
      <w:tr w:rsidR="00911CE8" w:rsidRPr="00C604CB" w14:paraId="0D0A8922"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6BA76594" w14:textId="2F3E707F" w:rsidR="00911CE8" w:rsidRPr="00815445" w:rsidRDefault="00911CE8" w:rsidP="00815445">
            <w:pPr>
              <w:pStyle w:val="Ttulo2Car"/>
              <w:numPr>
                <w:ilvl w:val="1"/>
                <w:numId w:val="30"/>
              </w:numPr>
              <w:spacing w:line="240" w:lineRule="auto"/>
              <w:rPr>
                <w:rFonts w:asciiTheme="majorHAnsi" w:hAnsiTheme="majorHAnsi" w:cstheme="majorHAnsi"/>
                <w:b/>
                <w:i/>
                <w:iCs/>
                <w:lang w:val="es-ES" w:eastAsia="es-ES"/>
              </w:rPr>
            </w:pPr>
            <w:r w:rsidRPr="00815445">
              <w:rPr>
                <w:rFonts w:asciiTheme="majorHAnsi" w:hAnsiTheme="majorHAnsi" w:cstheme="majorHAnsi"/>
                <w:b/>
                <w:i/>
                <w:iCs/>
                <w:lang w:val="es-ES" w:eastAsia="es-ES"/>
              </w:rPr>
              <w:t>Fotocopia simple de los documentos que acrediten las facultades de los firmantes del acuerdo de intención de consorciarse. Estos documentos pueden consistir en (*):</w:t>
            </w:r>
          </w:p>
          <w:p w14:paraId="0FF0DB00" w14:textId="77777777" w:rsidR="00911CE8" w:rsidRPr="00C604CB" w:rsidRDefault="00911CE8" w:rsidP="00C71EAB">
            <w:pPr>
              <w:pStyle w:val="Ttulo2Car"/>
              <w:numPr>
                <w:ilvl w:val="2"/>
                <w:numId w:val="13"/>
              </w:numPr>
              <w:spacing w:line="240" w:lineRule="auto"/>
              <w:ind w:left="731" w:hanging="142"/>
              <w:rPr>
                <w:rFonts w:asciiTheme="majorHAnsi" w:hAnsiTheme="majorHAnsi" w:cstheme="majorHAnsi"/>
                <w:b/>
                <w:i/>
                <w:iCs/>
                <w:lang w:val="es-ES" w:eastAsia="es-ES"/>
              </w:rPr>
            </w:pPr>
            <w:r w:rsidRPr="00C604CB">
              <w:rPr>
                <w:rFonts w:asciiTheme="majorHAnsi" w:hAnsiTheme="majorHAnsi" w:cstheme="majorHAnsi"/>
                <w:b/>
                <w:i/>
                <w:iCs/>
                <w:lang w:val="es-ES" w:eastAsia="es-ES"/>
              </w:rPr>
              <w:t xml:space="preserve">Un poder suficiente otorgado por escritura pública por cada miembro del consorcio (no es necesario que esté inscripto en el Registro de Poderes); o </w:t>
            </w:r>
          </w:p>
          <w:p w14:paraId="260E48C6" w14:textId="77777777" w:rsidR="00911CE8" w:rsidRPr="00C604CB" w:rsidRDefault="00911CE8" w:rsidP="00C71EAB">
            <w:pPr>
              <w:widowControl w:val="0"/>
              <w:numPr>
                <w:ilvl w:val="2"/>
                <w:numId w:val="13"/>
              </w:numPr>
              <w:adjustRightInd w:val="0"/>
              <w:spacing w:after="0" w:line="240" w:lineRule="auto"/>
              <w:ind w:left="738"/>
              <w:jc w:val="both"/>
              <w:textAlignment w:val="baseline"/>
              <w:rPr>
                <w:rFonts w:asciiTheme="majorHAnsi" w:eastAsia="Times New Roman" w:hAnsiTheme="majorHAnsi" w:cstheme="majorHAnsi"/>
                <w:b/>
                <w:i/>
                <w:iCs/>
                <w:lang w:val="es-ES" w:eastAsia="es-ES"/>
              </w:rPr>
            </w:pPr>
            <w:r w:rsidRPr="00C604CB">
              <w:rPr>
                <w:rFonts w:asciiTheme="majorHAnsi" w:eastAsia="Times New Roman" w:hAnsiTheme="majorHAnsi" w:cstheme="majorHAnsi"/>
                <w:b/>
                <w:i/>
                <w:iCs/>
                <w:lang w:val="es-ES" w:eastAsia="es-ES"/>
              </w:rPr>
              <w:t>Los documentos societarios de cada miembro del consorcio, que justifiquen la representación del firmante, tales como actas de asamblea y de directorio en el caso de las sociedades anónimas.</w:t>
            </w:r>
          </w:p>
        </w:tc>
      </w:tr>
      <w:tr w:rsidR="00911CE8" w:rsidRPr="00C604CB" w14:paraId="7BDB0C16" w14:textId="77777777" w:rsidTr="00C71EAB">
        <w:trPr>
          <w:trHeight w:val="123"/>
          <w:jc w:val="center"/>
        </w:trPr>
        <w:tc>
          <w:tcPr>
            <w:tcW w:w="8647" w:type="dxa"/>
            <w:tcBorders>
              <w:top w:val="single" w:sz="4" w:space="0" w:color="auto"/>
              <w:left w:val="single" w:sz="4" w:space="0" w:color="auto"/>
              <w:bottom w:val="single" w:sz="4" w:space="0" w:color="auto"/>
              <w:right w:val="single" w:sz="4" w:space="0" w:color="auto"/>
            </w:tcBorders>
          </w:tcPr>
          <w:p w14:paraId="683B8F7A" w14:textId="12CA65AD" w:rsidR="00911CE8" w:rsidRPr="00815445" w:rsidRDefault="00911CE8" w:rsidP="00815445">
            <w:pPr>
              <w:pStyle w:val="Ttulo2Car"/>
              <w:numPr>
                <w:ilvl w:val="1"/>
                <w:numId w:val="30"/>
              </w:numPr>
              <w:spacing w:line="240" w:lineRule="auto"/>
              <w:rPr>
                <w:rFonts w:asciiTheme="majorHAnsi" w:hAnsiTheme="majorHAnsi" w:cstheme="majorHAnsi"/>
                <w:b/>
                <w:i/>
                <w:iCs/>
                <w:lang w:val="es-ES" w:eastAsia="es-ES"/>
              </w:rPr>
            </w:pPr>
            <w:r w:rsidRPr="00815445">
              <w:rPr>
                <w:rFonts w:asciiTheme="majorHAnsi" w:hAnsiTheme="majorHAnsi" w:cstheme="majorHAnsi"/>
                <w:b/>
                <w:i/>
                <w:iCs/>
                <w:lang w:val="es-ES" w:eastAsia="es-ES"/>
              </w:rPr>
              <w:t xml:space="preserve">Fotocopia simple de los documentos que acrediten las facultades del firmante de la oferta para comprometer al consorcio, cuando se haya formalizado el consorcio. Estos documentos pueden consistir en (*): </w:t>
            </w:r>
          </w:p>
          <w:p w14:paraId="4FFC2904" w14:textId="77777777" w:rsidR="00911CE8" w:rsidRPr="00C604CB" w:rsidRDefault="00911CE8" w:rsidP="00C71EAB">
            <w:pPr>
              <w:widowControl w:val="0"/>
              <w:numPr>
                <w:ilvl w:val="1"/>
                <w:numId w:val="17"/>
              </w:numPr>
              <w:adjustRightInd w:val="0"/>
              <w:spacing w:after="0" w:line="240" w:lineRule="auto"/>
              <w:ind w:left="738" w:hanging="142"/>
              <w:jc w:val="both"/>
              <w:textAlignment w:val="baseline"/>
              <w:rPr>
                <w:rFonts w:asciiTheme="majorHAnsi" w:eastAsia="Times New Roman" w:hAnsiTheme="majorHAnsi" w:cstheme="majorHAnsi"/>
                <w:b/>
                <w:i/>
                <w:iCs/>
                <w:lang w:val="es-ES" w:eastAsia="es-ES"/>
              </w:rPr>
            </w:pPr>
            <w:r w:rsidRPr="00C604CB">
              <w:rPr>
                <w:rFonts w:asciiTheme="majorHAnsi" w:eastAsia="Times New Roman" w:hAnsiTheme="majorHAnsi" w:cstheme="majorHAnsi"/>
                <w:b/>
                <w:i/>
                <w:iCs/>
                <w:lang w:val="es-ES" w:eastAsia="es-ES"/>
              </w:rPr>
              <w:t xml:space="preserve">Un poder suficiente otorgado por escritura pública por la Empresa Líder del consorcio (no es necesario que esté inscripto en el Registro de Poderes); o </w:t>
            </w:r>
          </w:p>
          <w:p w14:paraId="17BE554C" w14:textId="77777777" w:rsidR="00911CE8" w:rsidRPr="00C604CB" w:rsidRDefault="00911CE8" w:rsidP="00C71EAB">
            <w:pPr>
              <w:widowControl w:val="0"/>
              <w:numPr>
                <w:ilvl w:val="1"/>
                <w:numId w:val="17"/>
              </w:numPr>
              <w:adjustRightInd w:val="0"/>
              <w:spacing w:after="0" w:line="240" w:lineRule="auto"/>
              <w:ind w:left="738" w:hanging="142"/>
              <w:jc w:val="both"/>
              <w:textAlignment w:val="baseline"/>
              <w:rPr>
                <w:rFonts w:asciiTheme="majorHAnsi" w:eastAsia="Times New Roman" w:hAnsiTheme="majorHAnsi" w:cstheme="majorHAnsi"/>
                <w:b/>
                <w:i/>
                <w:iCs/>
                <w:lang w:val="es-ES" w:eastAsia="es-ES"/>
              </w:rPr>
            </w:pPr>
            <w:r w:rsidRPr="00C604CB">
              <w:rPr>
                <w:rFonts w:asciiTheme="majorHAnsi" w:eastAsia="Times New Roman" w:hAnsiTheme="majorHAnsi" w:cstheme="majorHAnsi"/>
                <w:b/>
                <w:i/>
                <w:iCs/>
                <w:lang w:val="es-ES" w:eastAsia="es-ES"/>
              </w:rPr>
              <w:t>Los documentos societarios de la Empresa Líder, que justifiquen la representación del firmante, tales como actas de asamblea y de directorio en el caso de las sociedades anónimas.</w:t>
            </w:r>
          </w:p>
        </w:tc>
      </w:tr>
      <w:tr w:rsidR="00911CE8" w:rsidRPr="00C604CB" w14:paraId="47C40507" w14:textId="77777777" w:rsidTr="00C71EAB">
        <w:trPr>
          <w:trHeight w:val="123"/>
          <w:jc w:val="center"/>
        </w:trPr>
        <w:tc>
          <w:tcPr>
            <w:tcW w:w="8647" w:type="dxa"/>
          </w:tcPr>
          <w:p w14:paraId="1D6BB323"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eastAsia="Arial Unicode MS" w:hAnsiTheme="majorHAnsi" w:cstheme="majorHAnsi"/>
                <w:b/>
                <w:i/>
                <w:lang w:val="es-ES" w:eastAsia="es-ES"/>
              </w:rPr>
              <w:t xml:space="preserve">Certificado de Cumplimiento Tributario. </w:t>
            </w:r>
            <w:r w:rsidRPr="00C604CB">
              <w:rPr>
                <w:rFonts w:asciiTheme="majorHAnsi" w:hAnsiTheme="majorHAnsi" w:cstheme="majorHAnsi"/>
                <w:b/>
                <w:i/>
              </w:rPr>
              <w:t>(*)</w:t>
            </w:r>
          </w:p>
        </w:tc>
      </w:tr>
      <w:tr w:rsidR="00911CE8" w:rsidRPr="00C604CB" w14:paraId="7E7A6300" w14:textId="77777777" w:rsidTr="00C71EAB">
        <w:trPr>
          <w:trHeight w:val="123"/>
          <w:jc w:val="center"/>
        </w:trPr>
        <w:tc>
          <w:tcPr>
            <w:tcW w:w="8647" w:type="dxa"/>
          </w:tcPr>
          <w:p w14:paraId="4601CA0A" w14:textId="77777777" w:rsidR="00911CE8" w:rsidRPr="00C604CB" w:rsidRDefault="00911CE8" w:rsidP="00C71EAB">
            <w:pPr>
              <w:numPr>
                <w:ilvl w:val="3"/>
                <w:numId w:val="11"/>
              </w:numPr>
              <w:spacing w:after="0" w:line="240" w:lineRule="auto"/>
              <w:jc w:val="both"/>
              <w:rPr>
                <w:rFonts w:asciiTheme="majorHAnsi" w:eastAsia="Arial Unicode MS" w:hAnsiTheme="majorHAnsi" w:cstheme="majorHAnsi"/>
                <w:b/>
                <w:i/>
                <w:lang w:val="es-ES" w:eastAsia="es-ES"/>
              </w:rPr>
            </w:pPr>
            <w:r w:rsidRPr="00C604CB">
              <w:rPr>
                <w:rFonts w:asciiTheme="majorHAnsi" w:eastAsia="Arial Unicode MS" w:hAnsiTheme="majorHAnsi" w:cstheme="majorHAnsi"/>
                <w:b/>
                <w:i/>
                <w:lang w:val="es-ES" w:eastAsia="es-ES"/>
              </w:rPr>
              <w:t>Garantía de Mantenimiento de Oferta (*) deberá expedirse por el equivalente 5% (cinco por ciento) del monto total de la oferta. El oferente debe presentar con su oferta una garantía de mantenimiento instrumentada a través de:</w:t>
            </w:r>
          </w:p>
          <w:p w14:paraId="102BE199" w14:textId="77777777" w:rsidR="00911CE8" w:rsidRPr="00C604CB" w:rsidRDefault="00911CE8" w:rsidP="00C71EAB">
            <w:pPr>
              <w:pStyle w:val="Ttulo2Car"/>
              <w:autoSpaceDE w:val="0"/>
              <w:autoSpaceDN w:val="0"/>
              <w:spacing w:line="240" w:lineRule="auto"/>
              <w:ind w:left="731" w:hanging="371"/>
              <w:contextualSpacing/>
              <w:rPr>
                <w:rFonts w:asciiTheme="majorHAnsi" w:eastAsia="Arial Unicode MS" w:hAnsiTheme="majorHAnsi" w:cstheme="majorHAnsi"/>
                <w:b/>
                <w:i/>
                <w:lang w:val="es-ES" w:eastAsia="es-ES"/>
              </w:rPr>
            </w:pPr>
            <w:r w:rsidRPr="00C604CB">
              <w:rPr>
                <w:rFonts w:asciiTheme="majorHAnsi" w:eastAsia="Arial Unicode MS" w:hAnsiTheme="majorHAnsi" w:cstheme="majorHAnsi"/>
                <w:b/>
                <w:i/>
                <w:lang w:val="es-ES" w:eastAsia="es-ES"/>
              </w:rPr>
              <w:t>d.2 Póliza para adquisiciones superiores al monto de Gs. 5.000.000 (guaraníes cinco millones).</w:t>
            </w:r>
          </w:p>
        </w:tc>
      </w:tr>
      <w:tr w:rsidR="00911CE8" w:rsidRPr="00C604CB" w14:paraId="61B1C66F" w14:textId="77777777" w:rsidTr="00C71EAB">
        <w:trPr>
          <w:trHeight w:val="123"/>
          <w:jc w:val="center"/>
        </w:trPr>
        <w:tc>
          <w:tcPr>
            <w:tcW w:w="8647" w:type="dxa"/>
          </w:tcPr>
          <w:p w14:paraId="3834EE96"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eastAsia="Times New Roman" w:hAnsiTheme="majorHAnsi" w:cstheme="majorHAnsi"/>
                <w:b/>
                <w:i/>
                <w:lang w:val="es-ES" w:eastAsia="es-ES"/>
              </w:rPr>
              <w:t xml:space="preserve">Certificado de Cumplimiento con la Seguridad Social </w:t>
            </w:r>
            <w:r w:rsidRPr="00C604CB">
              <w:rPr>
                <w:rFonts w:asciiTheme="majorHAnsi" w:hAnsiTheme="majorHAnsi" w:cstheme="majorHAnsi"/>
                <w:b/>
                <w:i/>
              </w:rPr>
              <w:t>(*)</w:t>
            </w:r>
          </w:p>
        </w:tc>
      </w:tr>
      <w:tr w:rsidR="00911CE8" w:rsidRPr="00C604CB" w14:paraId="04EAA84D" w14:textId="77777777" w:rsidTr="00C71EAB">
        <w:trPr>
          <w:trHeight w:val="123"/>
          <w:jc w:val="center"/>
        </w:trPr>
        <w:tc>
          <w:tcPr>
            <w:tcW w:w="8647" w:type="dxa"/>
          </w:tcPr>
          <w:p w14:paraId="7C167746"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eastAsia="Times New Roman" w:hAnsiTheme="majorHAnsi" w:cstheme="majorHAnsi"/>
                <w:b/>
                <w:i/>
                <w:lang w:val="es-ES" w:eastAsia="es-ES"/>
              </w:rPr>
              <w:t xml:space="preserve">Declaración Jurada de cumplir con las especificaciones técnicas de la Convocatoria </w:t>
            </w:r>
            <w:r w:rsidRPr="00C604CB">
              <w:rPr>
                <w:rFonts w:asciiTheme="majorHAnsi" w:hAnsiTheme="majorHAnsi" w:cstheme="majorHAnsi"/>
                <w:b/>
                <w:i/>
              </w:rPr>
              <w:t>(*)</w:t>
            </w:r>
            <w:r w:rsidRPr="00C604CB">
              <w:rPr>
                <w:rFonts w:asciiTheme="majorHAnsi" w:eastAsia="Times New Roman" w:hAnsiTheme="majorHAnsi" w:cstheme="majorHAnsi"/>
                <w:b/>
                <w:i/>
                <w:lang w:val="es-ES" w:eastAsia="es-ES"/>
              </w:rPr>
              <w:t xml:space="preserve">; </w:t>
            </w:r>
          </w:p>
        </w:tc>
      </w:tr>
      <w:tr w:rsidR="00911CE8" w:rsidRPr="00C604CB" w14:paraId="7F59D1C6" w14:textId="77777777" w:rsidTr="00C71EAB">
        <w:trPr>
          <w:trHeight w:val="123"/>
          <w:jc w:val="center"/>
        </w:trPr>
        <w:tc>
          <w:tcPr>
            <w:tcW w:w="8647" w:type="dxa"/>
          </w:tcPr>
          <w:p w14:paraId="39474CCB" w14:textId="77777777" w:rsidR="00911CE8" w:rsidRPr="00C604CB" w:rsidRDefault="00911CE8" w:rsidP="00C71EAB">
            <w:pPr>
              <w:numPr>
                <w:ilvl w:val="3"/>
                <w:numId w:val="11"/>
              </w:numPr>
              <w:spacing w:after="0" w:line="240" w:lineRule="auto"/>
              <w:jc w:val="both"/>
              <w:rPr>
                <w:rFonts w:asciiTheme="majorHAnsi" w:eastAsia="Times New Roman" w:hAnsiTheme="majorHAnsi" w:cstheme="majorHAnsi"/>
                <w:b/>
                <w:i/>
                <w:lang w:val="es-ES" w:eastAsia="es-ES"/>
              </w:rPr>
            </w:pPr>
            <w:r w:rsidRPr="00C604CB">
              <w:rPr>
                <w:rFonts w:asciiTheme="majorHAnsi" w:hAnsiTheme="majorHAnsi" w:cstheme="majorHAnsi"/>
                <w:b/>
                <w:i/>
                <w:lang w:val="es-ES" w:eastAsia="es-ES"/>
              </w:rPr>
              <w:t>Patente comercial del municipio en donde esté asentado el establecimiento principal del oferente, vigente.</w:t>
            </w:r>
            <w:r w:rsidRPr="00C604CB">
              <w:rPr>
                <w:rFonts w:asciiTheme="majorHAnsi" w:eastAsia="Times New Roman" w:hAnsiTheme="majorHAnsi" w:cstheme="majorHAnsi"/>
                <w:b/>
                <w:i/>
                <w:lang w:val="es-ES" w:eastAsia="es-ES"/>
              </w:rPr>
              <w:t xml:space="preserve"> </w:t>
            </w:r>
            <w:r w:rsidRPr="00C604CB">
              <w:rPr>
                <w:rFonts w:asciiTheme="majorHAnsi" w:hAnsiTheme="majorHAnsi" w:cstheme="majorHAnsi"/>
                <w:b/>
                <w:i/>
              </w:rPr>
              <w:t>(*)</w:t>
            </w:r>
          </w:p>
        </w:tc>
      </w:tr>
      <w:tr w:rsidR="00911CE8" w:rsidRPr="00C604CB" w14:paraId="07D322CC" w14:textId="77777777" w:rsidTr="00C71EAB">
        <w:trPr>
          <w:trHeight w:val="123"/>
          <w:jc w:val="center"/>
        </w:trPr>
        <w:tc>
          <w:tcPr>
            <w:tcW w:w="8647" w:type="dxa"/>
          </w:tcPr>
          <w:p w14:paraId="33D18474" w14:textId="77777777" w:rsidR="00911CE8" w:rsidRPr="00C604CB" w:rsidRDefault="00911CE8" w:rsidP="00C71EAB">
            <w:pPr>
              <w:numPr>
                <w:ilvl w:val="3"/>
                <w:numId w:val="11"/>
              </w:numPr>
              <w:spacing w:after="0" w:line="240" w:lineRule="auto"/>
              <w:jc w:val="both"/>
              <w:rPr>
                <w:rFonts w:asciiTheme="majorHAnsi" w:hAnsiTheme="majorHAnsi" w:cstheme="majorHAnsi"/>
                <w:b/>
                <w:i/>
                <w:lang w:val="es-ES" w:eastAsia="es-ES"/>
              </w:rPr>
            </w:pPr>
            <w:r w:rsidRPr="00C604CB">
              <w:rPr>
                <w:rFonts w:asciiTheme="majorHAnsi" w:hAnsiTheme="majorHAnsi" w:cstheme="majorHAnsi"/>
                <w:b/>
                <w:i/>
                <w:lang w:val="es-ES" w:eastAsia="es-ES"/>
              </w:rPr>
              <w:t xml:space="preserve">Constancia de inscripción en el Registro Único de Contribuyentes – RUC </w:t>
            </w:r>
            <w:r w:rsidRPr="00C604CB">
              <w:rPr>
                <w:rFonts w:asciiTheme="majorHAnsi" w:eastAsia="Times New Roman" w:hAnsiTheme="majorHAnsi" w:cstheme="majorHAnsi"/>
                <w:b/>
                <w:i/>
                <w:lang w:val="es-ES" w:eastAsia="es-ES"/>
              </w:rPr>
              <w:t xml:space="preserve"> </w:t>
            </w:r>
            <w:r w:rsidRPr="00C604CB">
              <w:rPr>
                <w:rFonts w:asciiTheme="majorHAnsi" w:hAnsiTheme="majorHAnsi" w:cstheme="majorHAnsi"/>
                <w:b/>
                <w:i/>
              </w:rPr>
              <w:t>(*)</w:t>
            </w:r>
            <w:r w:rsidRPr="00C604CB">
              <w:rPr>
                <w:rFonts w:asciiTheme="majorHAnsi" w:eastAsia="Times New Roman" w:hAnsiTheme="majorHAnsi" w:cstheme="majorHAnsi"/>
                <w:b/>
                <w:i/>
                <w:lang w:val="es-ES" w:eastAsia="es-ES"/>
              </w:rPr>
              <w:t>;</w:t>
            </w:r>
          </w:p>
        </w:tc>
      </w:tr>
      <w:tr w:rsidR="00911CE8" w:rsidRPr="00C604CB" w14:paraId="47EDBB31" w14:textId="77777777" w:rsidTr="00C71EAB">
        <w:trPr>
          <w:trHeight w:val="123"/>
          <w:jc w:val="center"/>
        </w:trPr>
        <w:tc>
          <w:tcPr>
            <w:tcW w:w="8647" w:type="dxa"/>
          </w:tcPr>
          <w:p w14:paraId="49EA989E" w14:textId="77777777" w:rsidR="00911CE8" w:rsidRPr="00C604CB" w:rsidRDefault="00911CE8" w:rsidP="00C71EAB">
            <w:pPr>
              <w:numPr>
                <w:ilvl w:val="3"/>
                <w:numId w:val="11"/>
              </w:numPr>
              <w:spacing w:after="0" w:line="240" w:lineRule="auto"/>
              <w:jc w:val="both"/>
              <w:rPr>
                <w:rFonts w:asciiTheme="majorHAnsi" w:hAnsiTheme="majorHAnsi" w:cstheme="majorHAnsi"/>
                <w:b/>
                <w:i/>
                <w:lang w:val="es-ES" w:eastAsia="es-ES"/>
              </w:rPr>
            </w:pPr>
            <w:r w:rsidRPr="00C604CB">
              <w:rPr>
                <w:rFonts w:asciiTheme="majorHAnsi" w:hAnsiTheme="majorHAnsi" w:cstheme="majorHAnsi"/>
                <w:b/>
                <w:i/>
                <w:lang w:val="es-ES" w:eastAsia="es-ES"/>
              </w:rPr>
              <w:t xml:space="preserve">Declaración Jurada de “Declaración de Personas”, de conformidad con el formulario estándar – Sección Formularios. </w:t>
            </w:r>
            <w:r w:rsidRPr="00C604CB">
              <w:rPr>
                <w:rFonts w:asciiTheme="majorHAnsi" w:hAnsiTheme="majorHAnsi" w:cstheme="majorHAnsi"/>
                <w:b/>
                <w:i/>
              </w:rPr>
              <w:t>(*)</w:t>
            </w:r>
          </w:p>
        </w:tc>
      </w:tr>
      <w:tr w:rsidR="00D34E8E" w:rsidRPr="00C604CB" w14:paraId="1E9E1FC0" w14:textId="77777777" w:rsidTr="00C71EAB">
        <w:trPr>
          <w:trHeight w:val="123"/>
          <w:jc w:val="center"/>
        </w:trPr>
        <w:tc>
          <w:tcPr>
            <w:tcW w:w="8647" w:type="dxa"/>
          </w:tcPr>
          <w:p w14:paraId="426E5ACC" w14:textId="23DD3F21" w:rsidR="00D34E8E" w:rsidRPr="00C604CB" w:rsidRDefault="006E6DB2" w:rsidP="00C71EAB">
            <w:pPr>
              <w:numPr>
                <w:ilvl w:val="3"/>
                <w:numId w:val="11"/>
              </w:numPr>
              <w:spacing w:after="0" w:line="240" w:lineRule="auto"/>
              <w:jc w:val="both"/>
              <w:rPr>
                <w:rFonts w:asciiTheme="majorHAnsi" w:hAnsiTheme="majorHAnsi" w:cstheme="majorHAnsi"/>
                <w:b/>
                <w:i/>
                <w:lang w:val="es-ES" w:eastAsia="es-ES"/>
              </w:rPr>
            </w:pPr>
            <w:r>
              <w:rPr>
                <w:rFonts w:asciiTheme="majorHAnsi" w:hAnsiTheme="majorHAnsi" w:cstheme="majorHAnsi"/>
                <w:b/>
                <w:i/>
                <w:lang w:val="es-ES" w:eastAsia="es-ES"/>
              </w:rPr>
              <w:t xml:space="preserve">Folletos y/o catálogos </w:t>
            </w:r>
            <w:r w:rsidR="00D34E8E">
              <w:rPr>
                <w:rFonts w:asciiTheme="majorHAnsi" w:hAnsiTheme="majorHAnsi" w:cstheme="majorHAnsi"/>
                <w:b/>
                <w:i/>
                <w:lang w:val="es-ES" w:eastAsia="es-ES"/>
              </w:rPr>
              <w:t>de los ítems ofertados</w:t>
            </w:r>
            <w:r w:rsidR="00255605">
              <w:rPr>
                <w:rFonts w:asciiTheme="majorHAnsi" w:hAnsiTheme="majorHAnsi" w:cstheme="majorHAnsi"/>
                <w:b/>
                <w:i/>
                <w:lang w:val="es-ES" w:eastAsia="es-ES"/>
              </w:rPr>
              <w:t xml:space="preserve"> debe</w:t>
            </w:r>
            <w:r w:rsidR="00183C01">
              <w:rPr>
                <w:rFonts w:asciiTheme="majorHAnsi" w:hAnsiTheme="majorHAnsi" w:cstheme="majorHAnsi"/>
                <w:b/>
                <w:i/>
                <w:lang w:val="es-ES" w:eastAsia="es-ES"/>
              </w:rPr>
              <w:t>n</w:t>
            </w:r>
            <w:r w:rsidR="00255605">
              <w:rPr>
                <w:rFonts w:asciiTheme="majorHAnsi" w:hAnsiTheme="majorHAnsi" w:cstheme="majorHAnsi"/>
                <w:b/>
                <w:i/>
                <w:lang w:val="es-ES" w:eastAsia="es-ES"/>
              </w:rPr>
              <w:t xml:space="preserve"> acercarse junto con su sobre oferta</w:t>
            </w:r>
            <w:r w:rsidR="00D34E8E">
              <w:rPr>
                <w:rFonts w:asciiTheme="majorHAnsi" w:hAnsiTheme="majorHAnsi" w:cstheme="majorHAnsi"/>
                <w:b/>
                <w:i/>
                <w:lang w:val="es-ES" w:eastAsia="es-ES"/>
              </w:rPr>
              <w:t xml:space="preserve"> (*)</w:t>
            </w:r>
          </w:p>
        </w:tc>
      </w:tr>
    </w:tbl>
    <w:bookmarkEnd w:id="8"/>
    <w:p w14:paraId="06331FD2" w14:textId="77777777" w:rsidR="00911CE8" w:rsidRPr="00C604CB" w:rsidRDefault="00911CE8" w:rsidP="00911CE8">
      <w:pPr>
        <w:pStyle w:val="Estilo2Car"/>
        <w:jc w:val="both"/>
        <w:rPr>
          <w:rFonts w:asciiTheme="majorHAnsi" w:eastAsia="Arial Unicode MS" w:hAnsiTheme="majorHAnsi" w:cstheme="majorHAnsi"/>
          <w:i/>
        </w:rPr>
      </w:pPr>
      <w:r w:rsidRPr="00C604CB">
        <w:rPr>
          <w:rFonts w:asciiTheme="majorHAnsi" w:eastAsia="Arial Unicode MS" w:hAnsiTheme="majorHAnsi" w:cstheme="majorHAnsi"/>
          <w:i/>
        </w:rPr>
        <w:t>Los documentos indicados con asterisco (*) son considerados documentos sustanciales a ser presentados con la oferta.</w:t>
      </w:r>
    </w:p>
    <w:p w14:paraId="725866AB" w14:textId="77777777" w:rsidR="00911CE8" w:rsidRPr="00370012" w:rsidRDefault="00911CE8" w:rsidP="00911CE8">
      <w:pPr>
        <w:pStyle w:val="Sinespaciado"/>
        <w:spacing w:line="276" w:lineRule="auto"/>
        <w:jc w:val="both"/>
        <w:rPr>
          <w:rFonts w:asciiTheme="majorHAnsi" w:hAnsiTheme="majorHAnsi" w:cstheme="majorHAnsi"/>
          <w:b w:val="0"/>
        </w:rPr>
      </w:pPr>
    </w:p>
    <w:p w14:paraId="4467B4D8" w14:textId="77777777" w:rsidR="00911CE8" w:rsidRPr="00370012" w:rsidRDefault="00911CE8" w:rsidP="00911CE8">
      <w:pPr>
        <w:pStyle w:val="Estilo2Car"/>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CAPACIDAD FINANCIERA</w:t>
      </w:r>
    </w:p>
    <w:p w14:paraId="59918CB9" w14:textId="77777777" w:rsidR="00911CE8" w:rsidRPr="00370012" w:rsidRDefault="00911CE8" w:rsidP="00911CE8">
      <w:pPr>
        <w:pStyle w:val="Estilo2Car"/>
        <w:jc w:val="both"/>
        <w:rPr>
          <w:rFonts w:asciiTheme="majorHAnsi" w:eastAsia="Times New Roman" w:hAnsiTheme="majorHAnsi" w:cstheme="majorHAnsi"/>
          <w:b/>
          <w:i/>
          <w:color w:val="FF0000"/>
          <w:lang w:eastAsia="es-PY"/>
        </w:rPr>
      </w:pPr>
      <w:bookmarkStart w:id="10" w:name="_Hlk31372867"/>
      <w:r w:rsidRPr="00370012">
        <w:rPr>
          <w:rFonts w:asciiTheme="majorHAnsi" w:eastAsia="Times New Roman" w:hAnsiTheme="majorHAnsi" w:cstheme="majorHAnsi"/>
          <w:color w:val="000000"/>
          <w:lang w:eastAsia="es-PY"/>
        </w:rPr>
        <w:t>Con el objetivo de calificar la situación financiera del oferente, se considerarán los siguientes índices:</w:t>
      </w:r>
      <w:r w:rsidRPr="00370012">
        <w:rPr>
          <w:rFonts w:asciiTheme="majorHAnsi" w:eastAsia="Times New Roman" w:hAnsiTheme="majorHAnsi" w:cstheme="majorHAnsi"/>
          <w:i/>
          <w:color w:val="FF0000"/>
          <w:lang w:eastAsia="es-PY"/>
        </w:rPr>
        <w:t xml:space="preserve"> </w:t>
      </w:r>
    </w:p>
    <w:p w14:paraId="23F52C4D" w14:textId="4BF60A4F" w:rsidR="00911CE8" w:rsidRPr="00370012" w:rsidRDefault="0027167B" w:rsidP="00911CE8">
      <w:pPr>
        <w:spacing w:after="0"/>
        <w:jc w:val="both"/>
        <w:rPr>
          <w:rFonts w:asciiTheme="majorHAnsi" w:hAnsiTheme="majorHAnsi" w:cstheme="majorHAnsi"/>
          <w:i/>
          <w:color w:val="FF0000"/>
        </w:rPr>
      </w:pPr>
      <w:r>
        <w:rPr>
          <w:rFonts w:asciiTheme="majorHAnsi" w:hAnsiTheme="majorHAnsi" w:cstheme="majorHAnsi"/>
          <w:i/>
          <w:color w:val="FF0000"/>
        </w:rPr>
        <w:t>No aplica</w:t>
      </w:r>
    </w:p>
    <w:bookmarkEnd w:id="10"/>
    <w:p w14:paraId="0FB15387" w14:textId="77777777" w:rsidR="00911CE8" w:rsidRPr="00970C9A" w:rsidRDefault="00911CE8" w:rsidP="00911CE8">
      <w:pPr>
        <w:pStyle w:val="Estilo2Car"/>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REQUISITOS DOCUMENTALES PARA LA EVALUACIÓN DE LA CAPACIDAD FINANCIERA:</w:t>
      </w:r>
    </w:p>
    <w:p w14:paraId="20DE1572" w14:textId="3DA441DC" w:rsidR="00911CE8" w:rsidRDefault="00911CE8" w:rsidP="00911CE8">
      <w:pPr>
        <w:pStyle w:val="Hipervnculo"/>
        <w:jc w:val="both"/>
        <w:rPr>
          <w:rFonts w:asciiTheme="majorHAnsi" w:hAnsiTheme="majorHAnsi" w:cstheme="majorHAnsi"/>
          <w:b/>
        </w:rPr>
      </w:pPr>
      <w:r w:rsidRPr="00370012">
        <w:rPr>
          <w:rFonts w:asciiTheme="majorHAnsi" w:hAnsiTheme="majorHAnsi" w:cstheme="majorHAnsi"/>
        </w:rPr>
        <w:t>Para evaluar el presente criterio, el oferente deberá presentar las siguientes documentaciones:</w:t>
      </w:r>
    </w:p>
    <w:p w14:paraId="617F7CC5" w14:textId="1A39828D" w:rsidR="0027167B" w:rsidRPr="00370012" w:rsidRDefault="0027167B" w:rsidP="00911CE8">
      <w:pPr>
        <w:pStyle w:val="Hipervnculo"/>
        <w:jc w:val="both"/>
        <w:rPr>
          <w:rFonts w:asciiTheme="majorHAnsi" w:hAnsiTheme="majorHAnsi" w:cstheme="majorHAnsi"/>
          <w:b/>
        </w:rPr>
      </w:pPr>
      <w:r>
        <w:rPr>
          <w:rFonts w:asciiTheme="majorHAnsi" w:hAnsiTheme="majorHAnsi" w:cstheme="majorHAnsi"/>
        </w:rPr>
        <w:lastRenderedPageBreak/>
        <w:t>No aplica</w:t>
      </w:r>
    </w:p>
    <w:bookmarkEnd w:id="9"/>
    <w:p w14:paraId="09A72CBF" w14:textId="77777777" w:rsidR="003A3E4B" w:rsidRPr="00370012" w:rsidRDefault="00A32CB9" w:rsidP="00A32CB9">
      <w:pPr>
        <w:pStyle w:val="Estilo2Car"/>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EXPERIENCIA REQUERIDA</w:t>
      </w:r>
    </w:p>
    <w:p w14:paraId="6D6C4100" w14:textId="2023FDA9" w:rsidR="00CE65DE" w:rsidRPr="00DF3F24" w:rsidRDefault="00CE65DE" w:rsidP="00CE65DE">
      <w:pPr>
        <w:pBdr>
          <w:bottom w:val="single" w:sz="4" w:space="1" w:color="auto"/>
        </w:pBdr>
        <w:spacing w:after="0" w:line="240" w:lineRule="auto"/>
        <w:jc w:val="both"/>
        <w:rPr>
          <w:rFonts w:asciiTheme="majorHAnsi" w:eastAsia="Times New Roman" w:hAnsiTheme="majorHAnsi" w:cstheme="majorHAnsi"/>
          <w:lang w:val="es-ES" w:eastAsia="es-ES"/>
        </w:rPr>
      </w:pPr>
      <w:r w:rsidRPr="00DF3F24">
        <w:rPr>
          <w:rFonts w:asciiTheme="majorHAnsi" w:eastAsia="Times New Roman" w:hAnsiTheme="majorHAnsi" w:cstheme="majorHAnsi"/>
          <w:lang w:val="es-ES" w:eastAsia="es-ES"/>
        </w:rPr>
        <w:t>Para determinar la experiencia, el oferente deberá demostrar haber realizado en forma satisfactoria</w:t>
      </w:r>
      <w:r w:rsidR="00A52D92" w:rsidRPr="00DF3F24">
        <w:rPr>
          <w:rFonts w:asciiTheme="majorHAnsi" w:eastAsia="Times New Roman" w:hAnsiTheme="majorHAnsi" w:cstheme="majorHAnsi"/>
          <w:lang w:val="es-ES" w:eastAsia="es-ES"/>
        </w:rPr>
        <w:t xml:space="preserve"> la provisión de bienes y/o insumos objeto de est</w:t>
      </w:r>
      <w:r w:rsidR="0027167B">
        <w:rPr>
          <w:rFonts w:asciiTheme="majorHAnsi" w:eastAsia="Times New Roman" w:hAnsiTheme="majorHAnsi" w:cstheme="majorHAnsi"/>
          <w:lang w:val="es-ES" w:eastAsia="es-ES"/>
        </w:rPr>
        <w:t>e procedimiento de adquisición</w:t>
      </w:r>
      <w:r w:rsidRPr="00DF3F24">
        <w:rPr>
          <w:rFonts w:asciiTheme="majorHAnsi" w:eastAsia="Times New Roman" w:hAnsiTheme="majorHAnsi" w:cstheme="majorHAnsi"/>
          <w:lang w:val="es-ES" w:eastAsia="es-ES"/>
        </w:rPr>
        <w:t xml:space="preserve">, para lo cual se considerarán los siguientes documentos. </w:t>
      </w:r>
      <w:r w:rsidRPr="00DF3F24">
        <w:rPr>
          <w:rFonts w:asciiTheme="majorHAnsi" w:eastAsia="Times New Roman" w:hAnsiTheme="majorHAnsi" w:cstheme="majorHAnsi"/>
          <w:b/>
          <w:i/>
          <w:u w:val="single"/>
          <w:lang w:val="es-ES" w:eastAsia="es-ES"/>
        </w:rPr>
        <w:t>Copias de Contratos ejecutados y/o facturaciones</w:t>
      </w:r>
      <w:r w:rsidRPr="00DF3F24">
        <w:rPr>
          <w:rFonts w:asciiTheme="majorHAnsi" w:eastAsia="Times New Roman" w:hAnsiTheme="majorHAnsi" w:cstheme="majorHAnsi"/>
          <w:lang w:val="es-ES" w:eastAsia="es-ES"/>
        </w:rPr>
        <w:t>, con instituciones públicas y/o Privadas, acompañados de los documentos respaldatorios que avalen el cumplimiento satisfactorio de los mismos (Informes, Remisiones, y/o Actas de Recepción definitiva) podrán presentarse la cantidad de contratos que fuesen necesarios, que sumados alcance</w:t>
      </w:r>
      <w:r w:rsidR="00A52D92" w:rsidRPr="00DF3F24">
        <w:rPr>
          <w:rFonts w:asciiTheme="majorHAnsi" w:eastAsia="Times New Roman" w:hAnsiTheme="majorHAnsi" w:cstheme="majorHAnsi"/>
          <w:lang w:val="es-ES" w:eastAsia="es-ES"/>
        </w:rPr>
        <w:t>n</w:t>
      </w:r>
      <w:r w:rsidRPr="00DF3F24">
        <w:rPr>
          <w:rFonts w:asciiTheme="majorHAnsi" w:eastAsia="Times New Roman" w:hAnsiTheme="majorHAnsi" w:cstheme="majorHAnsi"/>
          <w:lang w:val="es-ES" w:eastAsia="es-ES"/>
        </w:rPr>
        <w:t xml:space="preserve"> como mínimo </w:t>
      </w:r>
      <w:r w:rsidRPr="00DF3F24">
        <w:rPr>
          <w:rFonts w:asciiTheme="majorHAnsi" w:eastAsia="Times New Roman" w:hAnsiTheme="majorHAnsi" w:cstheme="majorHAnsi"/>
          <w:b/>
          <w:i/>
          <w:u w:val="single"/>
          <w:lang w:val="es-ES" w:eastAsia="es-ES"/>
        </w:rPr>
        <w:t>50</w:t>
      </w:r>
      <w:r w:rsidR="00A64F62">
        <w:rPr>
          <w:rFonts w:asciiTheme="majorHAnsi" w:eastAsia="Times New Roman" w:hAnsiTheme="majorHAnsi" w:cstheme="majorHAnsi"/>
          <w:b/>
          <w:i/>
          <w:u w:val="single"/>
          <w:lang w:val="es-ES" w:eastAsia="es-ES"/>
        </w:rPr>
        <w:t xml:space="preserve"> (cincuenta) </w:t>
      </w:r>
      <w:r w:rsidRPr="00DF3F24">
        <w:rPr>
          <w:rFonts w:asciiTheme="majorHAnsi" w:eastAsia="Times New Roman" w:hAnsiTheme="majorHAnsi" w:cstheme="majorHAnsi"/>
          <w:b/>
          <w:i/>
          <w:u w:val="single"/>
          <w:lang w:val="es-ES" w:eastAsia="es-ES"/>
        </w:rPr>
        <w:t>%</w:t>
      </w:r>
      <w:r w:rsidRPr="00DF3F24">
        <w:rPr>
          <w:rFonts w:asciiTheme="majorHAnsi" w:eastAsia="Times New Roman" w:hAnsiTheme="majorHAnsi" w:cstheme="majorHAnsi"/>
          <w:lang w:val="es-ES" w:eastAsia="es-ES"/>
        </w:rPr>
        <w:t xml:space="preserve"> del monto </w:t>
      </w:r>
      <w:r w:rsidR="00FD1883" w:rsidRPr="00DF3F24">
        <w:rPr>
          <w:rFonts w:asciiTheme="majorHAnsi" w:eastAsia="Times New Roman" w:hAnsiTheme="majorHAnsi" w:cstheme="majorHAnsi"/>
          <w:lang w:val="es-ES" w:eastAsia="es-ES"/>
        </w:rPr>
        <w:t xml:space="preserve">total </w:t>
      </w:r>
      <w:r w:rsidRPr="00DF3F24">
        <w:rPr>
          <w:rFonts w:asciiTheme="majorHAnsi" w:eastAsia="Times New Roman" w:hAnsiTheme="majorHAnsi" w:cstheme="majorHAnsi"/>
          <w:lang w:val="es-ES" w:eastAsia="es-ES"/>
        </w:rPr>
        <w:t xml:space="preserve">de su oferta siempre y cuando hayan sido formalizados dentro del periodo comprendido entre los años </w:t>
      </w:r>
      <w:r w:rsidR="00DB615E">
        <w:rPr>
          <w:rFonts w:asciiTheme="majorHAnsi" w:eastAsia="Times New Roman" w:hAnsiTheme="majorHAnsi" w:cstheme="majorHAnsi"/>
          <w:b/>
          <w:i/>
          <w:u w:val="single"/>
          <w:lang w:val="es-ES" w:eastAsia="es-ES"/>
        </w:rPr>
        <w:t>202</w:t>
      </w:r>
      <w:r w:rsidR="00CF749D">
        <w:rPr>
          <w:rFonts w:asciiTheme="majorHAnsi" w:eastAsia="Times New Roman" w:hAnsiTheme="majorHAnsi" w:cstheme="majorHAnsi"/>
          <w:b/>
          <w:i/>
          <w:u w:val="single"/>
          <w:lang w:val="es-ES" w:eastAsia="es-ES"/>
        </w:rPr>
        <w:t>3,2024, 2025</w:t>
      </w:r>
      <w:r w:rsidRPr="00DF3F24">
        <w:rPr>
          <w:rFonts w:asciiTheme="majorHAnsi" w:eastAsia="Times New Roman" w:hAnsiTheme="majorHAnsi" w:cstheme="majorHAnsi"/>
          <w:lang w:val="es-ES" w:eastAsia="es-ES"/>
        </w:rPr>
        <w:t>.</w:t>
      </w:r>
    </w:p>
    <w:p w14:paraId="6D067DE1" w14:textId="77777777" w:rsidR="00CE65DE" w:rsidRPr="00DF3F24" w:rsidRDefault="00CE65DE" w:rsidP="00626F76">
      <w:pPr>
        <w:spacing w:after="0" w:line="240" w:lineRule="auto"/>
        <w:jc w:val="both"/>
        <w:rPr>
          <w:rFonts w:asciiTheme="majorHAnsi" w:eastAsia="Times New Roman" w:hAnsiTheme="majorHAnsi" w:cstheme="majorHAnsi"/>
          <w:lang w:val="es-ES" w:eastAsia="es-ES"/>
        </w:rPr>
      </w:pPr>
      <w:r w:rsidRPr="00DF3F24">
        <w:rPr>
          <w:rFonts w:asciiTheme="majorHAnsi" w:hAnsiTheme="majorHAnsi" w:cstheme="majorHAnsi"/>
        </w:rPr>
        <w:t>En caso de CONSORCIOS, todos los integrantes deberán cumplir los requisitos legales en su totalidad, como ser obligaciones tributarias, laborales, de seguridad social y las específicas para el cumplimiento de los bienes/</w:t>
      </w:r>
      <w:r w:rsidR="00A52D92" w:rsidRPr="00DF3F24">
        <w:rPr>
          <w:rFonts w:asciiTheme="majorHAnsi" w:hAnsiTheme="majorHAnsi" w:cstheme="majorHAnsi"/>
        </w:rPr>
        <w:t>insumos</w:t>
      </w:r>
      <w:r w:rsidRPr="00DF3F24">
        <w:rPr>
          <w:rFonts w:asciiTheme="majorHAnsi" w:hAnsiTheme="majorHAnsi" w:cstheme="majorHAnsi"/>
        </w:rPr>
        <w:t xml:space="preserve"> licitados, se deberá indicar en la oferta cual es el líder del Consorcio quien deberá cumplir con al menos el </w:t>
      </w:r>
      <w:r w:rsidRPr="00DF3F24">
        <w:rPr>
          <w:rFonts w:asciiTheme="majorHAnsi" w:hAnsiTheme="majorHAnsi" w:cstheme="majorHAnsi"/>
          <w:b/>
          <w:i/>
          <w:u w:val="single"/>
        </w:rPr>
        <w:t>60</w:t>
      </w:r>
      <w:r w:rsidR="00A64F62">
        <w:rPr>
          <w:rFonts w:asciiTheme="majorHAnsi" w:hAnsiTheme="majorHAnsi" w:cstheme="majorHAnsi"/>
          <w:b/>
          <w:i/>
          <w:u w:val="single"/>
        </w:rPr>
        <w:t xml:space="preserve"> (sesenta)</w:t>
      </w:r>
      <w:r w:rsidRPr="00DF3F24">
        <w:rPr>
          <w:rFonts w:asciiTheme="majorHAnsi" w:hAnsiTheme="majorHAnsi" w:cstheme="majorHAnsi"/>
          <w:b/>
          <w:i/>
          <w:u w:val="single"/>
        </w:rPr>
        <w:t xml:space="preserve"> %</w:t>
      </w:r>
      <w:r w:rsidRPr="00DF3F24">
        <w:rPr>
          <w:rFonts w:asciiTheme="majorHAnsi" w:hAnsiTheme="majorHAnsi" w:cstheme="majorHAnsi"/>
        </w:rPr>
        <w:t xml:space="preserve"> de los criterios de calificación, y el </w:t>
      </w:r>
      <w:r w:rsidRPr="00DF3F24">
        <w:rPr>
          <w:rFonts w:asciiTheme="majorHAnsi" w:hAnsiTheme="majorHAnsi" w:cstheme="majorHAnsi"/>
          <w:b/>
          <w:i/>
          <w:u w:val="single"/>
        </w:rPr>
        <w:t>40</w:t>
      </w:r>
      <w:r w:rsidR="00A64F62">
        <w:rPr>
          <w:rFonts w:asciiTheme="majorHAnsi" w:hAnsiTheme="majorHAnsi" w:cstheme="majorHAnsi"/>
          <w:b/>
          <w:i/>
          <w:u w:val="single"/>
        </w:rPr>
        <w:t xml:space="preserve"> (cuarenta) </w:t>
      </w:r>
      <w:r w:rsidRPr="00DF3F24">
        <w:rPr>
          <w:rFonts w:asciiTheme="majorHAnsi" w:hAnsiTheme="majorHAnsi" w:cstheme="majorHAnsi"/>
          <w:b/>
          <w:i/>
          <w:u w:val="single"/>
        </w:rPr>
        <w:t>%</w:t>
      </w:r>
      <w:r w:rsidRPr="00DF3F24">
        <w:rPr>
          <w:rFonts w:asciiTheme="majorHAnsi" w:hAnsiTheme="majorHAnsi" w:cstheme="majorHAnsi"/>
        </w:rPr>
        <w:t xml:space="preserve"> restante lo cumplirán el o los demás integrantes el consorcio. </w:t>
      </w:r>
    </w:p>
    <w:p w14:paraId="2D181BB2" w14:textId="77777777" w:rsidR="003A3E4B" w:rsidRPr="00370012" w:rsidRDefault="003A3E4B" w:rsidP="00636C3A">
      <w:pPr>
        <w:spacing w:after="0"/>
        <w:jc w:val="both"/>
        <w:rPr>
          <w:rFonts w:asciiTheme="majorHAnsi" w:eastAsia="Times New Roman" w:hAnsiTheme="majorHAnsi" w:cstheme="majorHAnsi"/>
          <w:i/>
          <w:color w:val="FF0000"/>
          <w:lang w:eastAsia="es-PY"/>
        </w:rPr>
      </w:pPr>
    </w:p>
    <w:p w14:paraId="10EB585B" w14:textId="77777777" w:rsidR="003A3E4B" w:rsidRPr="0007257B" w:rsidRDefault="0007257B" w:rsidP="0007257B">
      <w:pPr>
        <w:pStyle w:val="Estilo2Car"/>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bookmarkStart w:id="11" w:name="_Hlk32217586"/>
      <w:r w:rsidRPr="00370012">
        <w:rPr>
          <w:rFonts w:asciiTheme="majorHAnsi" w:hAnsiTheme="majorHAnsi" w:cstheme="majorHAnsi"/>
        </w:rPr>
        <w:t>REQUISITOS DOCUMENTALES PARA LA EVALUACIÓN DE LA EXPERIENCIA</w:t>
      </w:r>
    </w:p>
    <w:p w14:paraId="2FA9429F" w14:textId="77777777" w:rsidR="003A3E4B" w:rsidRPr="00CD6863" w:rsidRDefault="003A3E4B" w:rsidP="00636C3A">
      <w:pPr>
        <w:pStyle w:val="Ttulo2Car"/>
        <w:ind w:left="426"/>
        <w:rPr>
          <w:rFonts w:asciiTheme="majorHAnsi" w:hAnsiTheme="majorHAnsi" w:cstheme="majorHAnsi"/>
          <w:b/>
          <w:sz w:val="8"/>
          <w:szCs w:val="8"/>
          <w:lang w:eastAsia="es-P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2338B" w:rsidRPr="0032338B" w14:paraId="083996D4" w14:textId="77777777" w:rsidTr="00262819">
        <w:trPr>
          <w:trHeight w:val="534"/>
          <w:jc w:val="center"/>
        </w:trPr>
        <w:tc>
          <w:tcPr>
            <w:tcW w:w="8494" w:type="dxa"/>
            <w:tcBorders>
              <w:top w:val="single" w:sz="2" w:space="0" w:color="auto"/>
              <w:bottom w:val="single" w:sz="2" w:space="0" w:color="auto"/>
            </w:tcBorders>
          </w:tcPr>
          <w:p w14:paraId="0B6DA402" w14:textId="643D9719" w:rsidR="009057B6" w:rsidRPr="0032338B" w:rsidRDefault="009057B6" w:rsidP="00193B99">
            <w:pPr>
              <w:pStyle w:val="Ttulo2Car"/>
              <w:numPr>
                <w:ilvl w:val="0"/>
                <w:numId w:val="15"/>
              </w:numPr>
              <w:spacing w:line="240" w:lineRule="auto"/>
              <w:ind w:left="312" w:hanging="312"/>
              <w:rPr>
                <w:rFonts w:asciiTheme="majorHAnsi" w:eastAsia="Arial Unicode MS" w:hAnsiTheme="majorHAnsi" w:cstheme="majorHAnsi"/>
                <w:b/>
                <w:i/>
                <w:lang w:val="es-ES" w:eastAsia="es-ES"/>
              </w:rPr>
            </w:pPr>
            <w:r w:rsidRPr="0032338B">
              <w:rPr>
                <w:rFonts w:asciiTheme="majorHAnsi" w:eastAsia="Arial Unicode MS" w:hAnsiTheme="majorHAnsi" w:cstheme="majorHAnsi"/>
                <w:b/>
                <w:i/>
                <w:lang w:val="es-ES" w:eastAsia="es-ES"/>
              </w:rPr>
              <w:t xml:space="preserve">Copia de facturaciones y/o </w:t>
            </w:r>
            <w:r w:rsidR="00760781" w:rsidRPr="0032338B">
              <w:rPr>
                <w:rFonts w:asciiTheme="majorHAnsi" w:eastAsia="Arial Unicode MS" w:hAnsiTheme="majorHAnsi" w:cstheme="majorHAnsi"/>
                <w:b/>
                <w:i/>
                <w:lang w:val="es-ES" w:eastAsia="es-ES"/>
              </w:rPr>
              <w:t xml:space="preserve">contratos con </w:t>
            </w:r>
            <w:r w:rsidRPr="0032338B">
              <w:rPr>
                <w:rFonts w:asciiTheme="majorHAnsi" w:eastAsia="Arial Unicode MS" w:hAnsiTheme="majorHAnsi" w:cstheme="majorHAnsi"/>
                <w:b/>
                <w:i/>
                <w:lang w:val="es-ES" w:eastAsia="es-ES"/>
              </w:rPr>
              <w:t>recepciones</w:t>
            </w:r>
            <w:r w:rsidR="00741415" w:rsidRPr="0032338B">
              <w:rPr>
                <w:rFonts w:asciiTheme="majorHAnsi" w:eastAsia="Arial Unicode MS" w:hAnsiTheme="majorHAnsi" w:cstheme="majorHAnsi"/>
                <w:b/>
                <w:i/>
                <w:lang w:val="es-ES" w:eastAsia="es-ES"/>
              </w:rPr>
              <w:t xml:space="preserve"> finales</w:t>
            </w:r>
            <w:r w:rsidRPr="0032338B">
              <w:rPr>
                <w:rFonts w:asciiTheme="majorHAnsi" w:eastAsia="Arial Unicode MS" w:hAnsiTheme="majorHAnsi" w:cstheme="majorHAnsi"/>
                <w:b/>
                <w:i/>
                <w:lang w:val="es-ES" w:eastAsia="es-ES"/>
              </w:rPr>
              <w:t xml:space="preserve"> </w:t>
            </w:r>
            <w:r w:rsidR="00741415" w:rsidRPr="0032338B">
              <w:rPr>
                <w:rFonts w:asciiTheme="majorHAnsi" w:eastAsia="Arial Unicode MS" w:hAnsiTheme="majorHAnsi" w:cstheme="majorHAnsi"/>
                <w:b/>
                <w:i/>
                <w:lang w:val="es-ES" w:eastAsia="es-ES"/>
              </w:rPr>
              <w:t xml:space="preserve">y/o remisiones </w:t>
            </w:r>
            <w:r w:rsidRPr="0032338B">
              <w:rPr>
                <w:rFonts w:asciiTheme="majorHAnsi" w:eastAsia="Arial Unicode MS" w:hAnsiTheme="majorHAnsi" w:cstheme="majorHAnsi"/>
                <w:b/>
                <w:i/>
                <w:lang w:val="es-ES" w:eastAsia="es-ES"/>
              </w:rPr>
              <w:t>que avalen la experiencia requerida.</w:t>
            </w:r>
            <w:r w:rsidR="00864C90">
              <w:rPr>
                <w:rFonts w:asciiTheme="majorHAnsi" w:eastAsia="Arial Unicode MS" w:hAnsiTheme="majorHAnsi" w:cstheme="majorHAnsi"/>
                <w:b/>
                <w:i/>
                <w:lang w:val="es-ES" w:eastAsia="es-ES"/>
              </w:rPr>
              <w:t xml:space="preserve"> (*)</w:t>
            </w:r>
          </w:p>
        </w:tc>
      </w:tr>
    </w:tbl>
    <w:bookmarkEnd w:id="11"/>
    <w:p w14:paraId="03297C70" w14:textId="32E54CEA" w:rsidR="00456AD7" w:rsidRDefault="00456AD7" w:rsidP="00456AD7">
      <w:pPr>
        <w:pStyle w:val="Ttulo2Car"/>
        <w:ind w:left="720"/>
        <w:rPr>
          <w:rFonts w:asciiTheme="majorHAnsi" w:hAnsiTheme="majorHAnsi" w:cstheme="majorHAnsi"/>
          <w:b/>
          <w:iCs/>
        </w:rPr>
      </w:pPr>
      <w:r>
        <w:rPr>
          <w:rFonts w:asciiTheme="majorHAnsi" w:hAnsiTheme="majorHAnsi" w:cstheme="majorHAnsi"/>
          <w:b/>
          <w:i/>
        </w:rPr>
        <w:t xml:space="preserve">(*) </w:t>
      </w:r>
      <w:r>
        <w:rPr>
          <w:rFonts w:asciiTheme="majorHAnsi" w:hAnsiTheme="majorHAnsi" w:cstheme="majorHAnsi"/>
          <w:b/>
          <w:iCs/>
        </w:rPr>
        <w:t>Los requisitos documentales para la evaluación de la experiencia deberán anexarse con el sobre oferta, caso contrario, no podrán ser evaluadas dichas ofertas.</w:t>
      </w:r>
    </w:p>
    <w:p w14:paraId="4773ECA0" w14:textId="77777777" w:rsidR="00456AD7" w:rsidRPr="00370012" w:rsidRDefault="00456AD7" w:rsidP="00636C3A">
      <w:pPr>
        <w:spacing w:after="0"/>
        <w:jc w:val="both"/>
        <w:rPr>
          <w:rFonts w:asciiTheme="majorHAnsi" w:eastAsia="Times New Roman" w:hAnsiTheme="majorHAnsi" w:cstheme="majorHAnsi"/>
          <w:color w:val="000000"/>
          <w:highlight w:val="cyan"/>
          <w:lang w:eastAsia="es-PY"/>
        </w:rPr>
      </w:pPr>
    </w:p>
    <w:p w14:paraId="77E0C7DF" w14:textId="77777777" w:rsidR="003A3E4B" w:rsidRPr="00370012" w:rsidRDefault="001B2564" w:rsidP="001B2564">
      <w:pPr>
        <w:pStyle w:val="Estilo2Car"/>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CAPACIDAD TÉCNICA</w:t>
      </w:r>
    </w:p>
    <w:p w14:paraId="0560B7B7" w14:textId="77777777" w:rsidR="003A3E4B" w:rsidRPr="00370012" w:rsidRDefault="003A3E4B" w:rsidP="00636C3A">
      <w:pPr>
        <w:shd w:val="clear" w:color="auto" w:fill="FFFFFF"/>
        <w:spacing w:after="0"/>
        <w:jc w:val="both"/>
        <w:rPr>
          <w:rFonts w:asciiTheme="majorHAnsi" w:hAnsiTheme="majorHAnsi" w:cstheme="majorHAnsi"/>
          <w:lang w:val="es-ES" w:eastAsia="es-ES"/>
        </w:rPr>
      </w:pPr>
      <w:r w:rsidRPr="00370012">
        <w:rPr>
          <w:rFonts w:asciiTheme="majorHAnsi" w:hAnsiTheme="majorHAnsi" w:cstheme="majorHAnsi"/>
          <w:lang w:val="es-ES" w:eastAsia="es-ES"/>
        </w:rPr>
        <w:t>El oferente deberá proporcionar evidencia documentada que demuestre su cumplimiento con los siguientes requisitos de capacidad técnica:</w:t>
      </w:r>
    </w:p>
    <w:p w14:paraId="6A74AB23" w14:textId="77777777" w:rsidR="00C77098" w:rsidRPr="008667D6" w:rsidRDefault="00C77098" w:rsidP="00636C3A">
      <w:pPr>
        <w:shd w:val="clear" w:color="auto" w:fill="FFFFFF"/>
        <w:spacing w:after="0"/>
        <w:jc w:val="both"/>
        <w:rPr>
          <w:rFonts w:asciiTheme="majorHAnsi" w:hAnsiTheme="majorHAnsi" w:cstheme="majorHAnsi"/>
          <w:b/>
          <w:i/>
          <w:u w:val="single"/>
          <w:lang w:val="es-ES" w:eastAsia="es-ES"/>
        </w:rPr>
      </w:pPr>
      <w:r w:rsidRPr="008667D6">
        <w:rPr>
          <w:rFonts w:asciiTheme="majorHAnsi" w:hAnsiTheme="majorHAnsi" w:cstheme="majorHAnsi"/>
          <w:b/>
          <w:i/>
          <w:u w:val="single"/>
          <w:lang w:val="es-ES" w:eastAsia="es-ES"/>
        </w:rPr>
        <w:t>En el caso de bienes e insumos</w:t>
      </w:r>
    </w:p>
    <w:p w14:paraId="18D65EBE" w14:textId="5B6CDB4B" w:rsidR="00C77098" w:rsidRPr="00CF749D" w:rsidRDefault="00CF749D" w:rsidP="00CF749D">
      <w:pPr>
        <w:ind w:left="360"/>
        <w:rPr>
          <w:rFonts w:asciiTheme="majorHAnsi" w:hAnsiTheme="majorHAnsi" w:cstheme="majorHAnsi"/>
          <w:b/>
          <w:i/>
          <w:lang w:val="es-ES" w:eastAsia="es-ES"/>
        </w:rPr>
      </w:pPr>
      <w:r>
        <w:rPr>
          <w:rFonts w:asciiTheme="majorHAnsi" w:hAnsiTheme="majorHAnsi" w:cstheme="majorHAnsi"/>
          <w:b/>
          <w:i/>
          <w:lang w:val="es-ES" w:eastAsia="es-ES"/>
        </w:rPr>
        <w:t>a)</w:t>
      </w:r>
      <w:r w:rsidR="00C77098" w:rsidRPr="00CF749D">
        <w:rPr>
          <w:rFonts w:asciiTheme="majorHAnsi" w:hAnsiTheme="majorHAnsi" w:cstheme="majorHAnsi"/>
          <w:b/>
          <w:i/>
          <w:lang w:val="es-ES" w:eastAsia="es-ES"/>
        </w:rPr>
        <w:t xml:space="preserve">Declaración Jurada de cumplir con las </w:t>
      </w:r>
      <w:r w:rsidR="00CB4F6A" w:rsidRPr="00CF749D">
        <w:rPr>
          <w:rFonts w:asciiTheme="majorHAnsi" w:hAnsiTheme="majorHAnsi" w:cstheme="majorHAnsi"/>
          <w:b/>
          <w:i/>
          <w:lang w:val="es-ES" w:eastAsia="es-ES"/>
        </w:rPr>
        <w:t>especificaciones</w:t>
      </w:r>
      <w:r w:rsidR="00C77098" w:rsidRPr="00CF749D">
        <w:rPr>
          <w:rFonts w:asciiTheme="majorHAnsi" w:hAnsiTheme="majorHAnsi" w:cstheme="majorHAnsi"/>
          <w:b/>
          <w:i/>
          <w:lang w:val="es-ES" w:eastAsia="es-ES"/>
        </w:rPr>
        <w:t xml:space="preserve"> técnicas del Llamado.</w:t>
      </w:r>
    </w:p>
    <w:p w14:paraId="72FD709E" w14:textId="533039F5" w:rsidR="00F3419B" w:rsidRDefault="00F3419B" w:rsidP="00265FEF">
      <w:pPr>
        <w:pStyle w:val="Ttulo2Car"/>
        <w:numPr>
          <w:ilvl w:val="0"/>
          <w:numId w:val="16"/>
        </w:numPr>
        <w:rPr>
          <w:rFonts w:asciiTheme="majorHAnsi" w:hAnsiTheme="majorHAnsi" w:cstheme="majorHAnsi"/>
          <w:b/>
          <w:i/>
          <w:lang w:val="es-ES" w:eastAsia="es-ES"/>
        </w:rPr>
      </w:pPr>
      <w:r w:rsidRPr="001634B6">
        <w:rPr>
          <w:rFonts w:asciiTheme="majorHAnsi" w:hAnsiTheme="majorHAnsi" w:cstheme="majorHAnsi"/>
          <w:b/>
          <w:i/>
          <w:lang w:val="es-ES" w:eastAsia="es-ES"/>
        </w:rPr>
        <w:t>Declaración Jurada de los oferentes, donde manifieste tener la capacidad para cumplir en tiempo y forma.</w:t>
      </w:r>
    </w:p>
    <w:p w14:paraId="7FD6562E" w14:textId="7C454D63" w:rsidR="009D64EF" w:rsidRPr="00CF749D" w:rsidRDefault="009D64EF" w:rsidP="00CF749D">
      <w:pPr>
        <w:ind w:left="360"/>
        <w:rPr>
          <w:rFonts w:asciiTheme="majorHAnsi" w:hAnsiTheme="majorHAnsi" w:cstheme="majorHAnsi"/>
          <w:b/>
          <w:i/>
          <w:lang w:val="es-ES" w:eastAsia="es-ES"/>
        </w:rPr>
      </w:pPr>
    </w:p>
    <w:p w14:paraId="5CB51B6B" w14:textId="77777777" w:rsidR="003A3E4B" w:rsidRPr="00BF7491" w:rsidRDefault="003A3E4B" w:rsidP="00BF7491">
      <w:pPr>
        <w:pBdr>
          <w:bottom w:val="single" w:sz="4" w:space="1" w:color="auto"/>
        </w:pBdr>
        <w:spacing w:after="0"/>
        <w:rPr>
          <w:rFonts w:asciiTheme="majorHAnsi" w:hAnsiTheme="majorHAnsi" w:cstheme="majorHAnsi"/>
          <w:b/>
          <w:color w:val="FF0000"/>
          <w:lang w:eastAsia="es-PY"/>
        </w:rPr>
      </w:pPr>
      <w:bookmarkStart w:id="12" w:name="_Hlk32217609"/>
      <w:bookmarkStart w:id="13" w:name="_Hlk32826166"/>
      <w:r w:rsidRPr="00BF7491">
        <w:rPr>
          <w:rFonts w:asciiTheme="majorHAnsi" w:hAnsiTheme="majorHAnsi" w:cstheme="majorHAnsi"/>
          <w:b/>
          <w:lang w:eastAsia="es-PY"/>
        </w:rPr>
        <w:t>Requisitos documentales para evaluar el criterio de capacidad técnica</w:t>
      </w:r>
    </w:p>
    <w:p w14:paraId="2AE9C9B0" w14:textId="77777777" w:rsidR="003A3E4B" w:rsidRPr="00BF7491" w:rsidRDefault="003A3E4B" w:rsidP="00BF7491">
      <w:pPr>
        <w:spacing w:after="0"/>
        <w:rPr>
          <w:rFonts w:asciiTheme="majorHAnsi" w:hAnsiTheme="majorHAnsi" w:cstheme="majorHAnsi"/>
          <w:shd w:val="clear" w:color="auto" w:fill="FFFFFF"/>
        </w:rPr>
      </w:pPr>
      <w:r w:rsidRPr="00BF7491">
        <w:rPr>
          <w:rFonts w:asciiTheme="majorHAnsi" w:hAnsiTheme="majorHAnsi" w:cstheme="majorHAnsi"/>
          <w:shd w:val="clear" w:color="auto" w:fill="FFFFFF"/>
        </w:rPr>
        <w:t>Los siguientes documentos serán los considerados para la evaluación del presente criterio:</w:t>
      </w:r>
    </w:p>
    <w:tbl>
      <w:tblPr>
        <w:tblStyle w:val="Textodelmarcadordeposicin"/>
        <w:tblW w:w="0" w:type="auto"/>
        <w:tblLook w:val="04A0" w:firstRow="1" w:lastRow="0" w:firstColumn="1" w:lastColumn="0" w:noHBand="0" w:noVBand="1"/>
      </w:tblPr>
      <w:tblGrid>
        <w:gridCol w:w="8494"/>
      </w:tblGrid>
      <w:tr w:rsidR="008707F0" w:rsidRPr="008707F0" w14:paraId="0C52CFCA" w14:textId="77777777" w:rsidTr="00CE0E33">
        <w:tc>
          <w:tcPr>
            <w:tcW w:w="8494" w:type="dxa"/>
          </w:tcPr>
          <w:bookmarkEnd w:id="12"/>
          <w:p w14:paraId="65EB3B67" w14:textId="0643A281" w:rsidR="003A3E4B" w:rsidRPr="00CF749D" w:rsidRDefault="00CF749D" w:rsidP="00CF749D">
            <w:pPr>
              <w:spacing w:line="240" w:lineRule="auto"/>
              <w:rPr>
                <w:rFonts w:asciiTheme="majorHAnsi" w:hAnsiTheme="majorHAnsi" w:cstheme="majorHAnsi"/>
                <w:b/>
                <w:i/>
                <w:lang w:val="es-ES" w:eastAsia="es-ES"/>
              </w:rPr>
            </w:pPr>
            <w:r>
              <w:rPr>
                <w:rFonts w:asciiTheme="majorHAnsi" w:hAnsiTheme="majorHAnsi" w:cstheme="majorHAnsi"/>
                <w:b/>
                <w:i/>
                <w:lang w:val="es-ES" w:eastAsia="es-ES"/>
              </w:rPr>
              <w:t>a)</w:t>
            </w:r>
            <w:r w:rsidR="00CB4F6A" w:rsidRPr="00CF749D">
              <w:rPr>
                <w:rFonts w:asciiTheme="majorHAnsi" w:hAnsiTheme="majorHAnsi" w:cstheme="majorHAnsi"/>
                <w:b/>
                <w:i/>
                <w:lang w:val="es-ES" w:eastAsia="es-ES"/>
              </w:rPr>
              <w:t>Declaración Jurada de cumplir con las especificaciones técnicas del Llamado</w:t>
            </w:r>
            <w:r w:rsidR="00AE183B" w:rsidRPr="00CF749D">
              <w:rPr>
                <w:rFonts w:asciiTheme="majorHAnsi" w:hAnsiTheme="majorHAnsi" w:cstheme="majorHAnsi"/>
                <w:b/>
                <w:i/>
                <w:lang w:val="es-ES" w:eastAsia="es-ES"/>
              </w:rPr>
              <w:t xml:space="preserve"> </w:t>
            </w:r>
            <w:r w:rsidR="00AE183B" w:rsidRPr="00CF749D">
              <w:rPr>
                <w:rFonts w:asciiTheme="majorHAnsi" w:eastAsia="Arial Unicode MS" w:hAnsiTheme="majorHAnsi" w:cstheme="majorHAnsi"/>
                <w:b/>
                <w:i/>
                <w:lang w:val="es-ES" w:eastAsia="es-ES"/>
              </w:rPr>
              <w:t>(*)</w:t>
            </w:r>
          </w:p>
        </w:tc>
      </w:tr>
      <w:tr w:rsidR="008707F0" w:rsidRPr="008707F0" w14:paraId="1A6BD45D" w14:textId="77777777" w:rsidTr="00CE0E33">
        <w:tc>
          <w:tcPr>
            <w:tcW w:w="8494" w:type="dxa"/>
          </w:tcPr>
          <w:p w14:paraId="5FFA250A" w14:textId="7D6F32D3" w:rsidR="003A3E4B" w:rsidRPr="008707F0" w:rsidRDefault="00F3419B" w:rsidP="0018681A">
            <w:pPr>
              <w:pStyle w:val="Ttulo2Car"/>
              <w:numPr>
                <w:ilvl w:val="0"/>
                <w:numId w:val="30"/>
              </w:numPr>
              <w:spacing w:line="240" w:lineRule="auto"/>
              <w:ind w:left="309" w:hanging="309"/>
              <w:rPr>
                <w:rFonts w:asciiTheme="majorHAnsi" w:hAnsiTheme="majorHAnsi" w:cstheme="majorHAnsi"/>
                <w:b/>
                <w:i/>
                <w:lang w:val="es-ES" w:eastAsia="es-ES"/>
              </w:rPr>
            </w:pPr>
            <w:r w:rsidRPr="008707F0">
              <w:rPr>
                <w:rFonts w:asciiTheme="majorHAnsi" w:hAnsiTheme="majorHAnsi" w:cstheme="majorHAnsi"/>
                <w:b/>
                <w:i/>
                <w:lang w:val="es-ES" w:eastAsia="es-ES"/>
              </w:rPr>
              <w:t xml:space="preserve">Declaración Jurada de los oferentes, donde manifieste tener la capacidad para cumplir con el suministro de los </w:t>
            </w:r>
            <w:r w:rsidR="00BB0205">
              <w:rPr>
                <w:rFonts w:asciiTheme="majorHAnsi" w:hAnsiTheme="majorHAnsi" w:cstheme="majorHAnsi"/>
                <w:b/>
                <w:i/>
                <w:lang w:val="es-ES" w:eastAsia="es-ES"/>
              </w:rPr>
              <w:t xml:space="preserve">equipos </w:t>
            </w:r>
            <w:r w:rsidRPr="008707F0">
              <w:rPr>
                <w:rFonts w:asciiTheme="majorHAnsi" w:hAnsiTheme="majorHAnsi" w:cstheme="majorHAnsi"/>
                <w:b/>
                <w:i/>
                <w:lang w:val="es-ES" w:eastAsia="es-ES"/>
              </w:rPr>
              <w:t>en tiempo y forma.</w:t>
            </w:r>
            <w:r w:rsidR="00AE183B">
              <w:rPr>
                <w:rFonts w:asciiTheme="majorHAnsi" w:hAnsiTheme="majorHAnsi" w:cstheme="majorHAnsi"/>
                <w:b/>
                <w:i/>
                <w:lang w:val="es-ES" w:eastAsia="es-ES"/>
              </w:rPr>
              <w:t xml:space="preserve"> </w:t>
            </w:r>
            <w:r w:rsidR="00AE183B">
              <w:rPr>
                <w:rFonts w:asciiTheme="majorHAnsi" w:eastAsia="Arial Unicode MS" w:hAnsiTheme="majorHAnsi" w:cstheme="majorHAnsi"/>
                <w:b/>
                <w:i/>
                <w:lang w:val="es-ES" w:eastAsia="es-ES"/>
              </w:rPr>
              <w:t>(*)</w:t>
            </w:r>
          </w:p>
        </w:tc>
      </w:tr>
    </w:tbl>
    <w:bookmarkEnd w:id="13"/>
    <w:p w14:paraId="16215CA8" w14:textId="1E4BE7CA" w:rsidR="00864C90" w:rsidRDefault="00864C90" w:rsidP="00864C90">
      <w:pPr>
        <w:pStyle w:val="Ttulo2Car"/>
        <w:ind w:left="720"/>
        <w:rPr>
          <w:rFonts w:asciiTheme="majorHAnsi" w:hAnsiTheme="majorHAnsi" w:cstheme="majorHAnsi"/>
          <w:b/>
          <w:iCs/>
        </w:rPr>
      </w:pPr>
      <w:r>
        <w:rPr>
          <w:rFonts w:asciiTheme="majorHAnsi" w:hAnsiTheme="majorHAnsi" w:cstheme="majorHAnsi"/>
          <w:b/>
          <w:i/>
        </w:rPr>
        <w:t xml:space="preserve">(*) </w:t>
      </w:r>
      <w:r>
        <w:rPr>
          <w:rFonts w:asciiTheme="majorHAnsi" w:hAnsiTheme="majorHAnsi" w:cstheme="majorHAnsi"/>
          <w:b/>
          <w:iCs/>
        </w:rPr>
        <w:t xml:space="preserve">Los requisitos documentales para la evaluación de la </w:t>
      </w:r>
      <w:r w:rsidR="00AE183B">
        <w:rPr>
          <w:rFonts w:asciiTheme="majorHAnsi" w:hAnsiTheme="majorHAnsi" w:cstheme="majorHAnsi"/>
          <w:b/>
          <w:iCs/>
        </w:rPr>
        <w:t xml:space="preserve">capacidad técnica </w:t>
      </w:r>
      <w:r w:rsidR="001072E8">
        <w:rPr>
          <w:rFonts w:asciiTheme="majorHAnsi" w:hAnsiTheme="majorHAnsi" w:cstheme="majorHAnsi"/>
          <w:b/>
          <w:iCs/>
        </w:rPr>
        <w:t xml:space="preserve">deberán </w:t>
      </w:r>
      <w:r>
        <w:rPr>
          <w:rFonts w:asciiTheme="majorHAnsi" w:hAnsiTheme="majorHAnsi" w:cstheme="majorHAnsi"/>
          <w:b/>
          <w:iCs/>
        </w:rPr>
        <w:t>anexarse con el sobre oferta, caso contrario, no podrán ser evaluadas dichas ofertas.</w:t>
      </w:r>
    </w:p>
    <w:p w14:paraId="35BEC48F" w14:textId="77777777" w:rsidR="003A3E4B" w:rsidRPr="00CF749D" w:rsidRDefault="003A3E4B" w:rsidP="00636C3A">
      <w:pPr>
        <w:pStyle w:val="Hipervnculo"/>
        <w:jc w:val="both"/>
        <w:rPr>
          <w:rFonts w:asciiTheme="majorHAnsi" w:hAnsiTheme="majorHAnsi" w:cstheme="majorHAnsi"/>
          <w:highlight w:val="cyan"/>
          <w:lang w:val="es-ES_tradnl"/>
        </w:rPr>
      </w:pPr>
    </w:p>
    <w:p w14:paraId="5F5A5730" w14:textId="77777777" w:rsidR="003A3E4B" w:rsidRPr="00370012" w:rsidRDefault="008C1942" w:rsidP="008C1942">
      <w:pPr>
        <w:pStyle w:val="Estilo2Car"/>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bookmarkStart w:id="14" w:name="_Hlk32826215"/>
      <w:r w:rsidRPr="00370012">
        <w:rPr>
          <w:rFonts w:asciiTheme="majorHAnsi" w:hAnsiTheme="majorHAnsi" w:cstheme="majorHAnsi"/>
        </w:rPr>
        <w:t>OTROS CRITERIOS QUE LA CONVOCANTE REQUIERA</w:t>
      </w:r>
    </w:p>
    <w:p w14:paraId="27CFC2AD" w14:textId="77777777" w:rsidR="003A3E4B" w:rsidRPr="00370012" w:rsidRDefault="003A3E4B" w:rsidP="00291E6E">
      <w:pPr>
        <w:pStyle w:val="Hipervnculo"/>
        <w:jc w:val="both"/>
        <w:rPr>
          <w:rFonts w:asciiTheme="majorHAnsi" w:hAnsiTheme="majorHAnsi" w:cstheme="majorHAnsi"/>
          <w:b/>
          <w:i/>
          <w:color w:val="FF0000"/>
          <w:lang w:eastAsia="es-PY"/>
        </w:rPr>
      </w:pPr>
      <w:r w:rsidRPr="00370012">
        <w:rPr>
          <w:rFonts w:asciiTheme="majorHAnsi" w:hAnsiTheme="majorHAnsi" w:cstheme="majorHAnsi"/>
        </w:rPr>
        <w:t>Otros criterios para la evaluación de las ofertas a ser considerados en esta contratación serán:</w:t>
      </w:r>
      <w:r w:rsidR="00E71CE3" w:rsidRPr="00370012">
        <w:rPr>
          <w:rFonts w:asciiTheme="majorHAnsi" w:hAnsiTheme="majorHAnsi" w:cstheme="majorHAnsi"/>
        </w:rPr>
        <w:t xml:space="preserve"> </w:t>
      </w:r>
      <w:r w:rsidR="00921880" w:rsidRPr="00921880">
        <w:rPr>
          <w:rFonts w:asciiTheme="majorHAnsi" w:hAnsiTheme="majorHAnsi" w:cstheme="majorHAnsi"/>
          <w:i/>
          <w:u w:val="single"/>
          <w:lang w:eastAsia="es-PY"/>
        </w:rPr>
        <w:t>No Aplica</w:t>
      </w:r>
      <w:r w:rsidR="00E71CE3" w:rsidRPr="00370012">
        <w:rPr>
          <w:rFonts w:asciiTheme="majorHAnsi" w:hAnsiTheme="majorHAnsi" w:cstheme="majorHAnsi"/>
          <w:i/>
          <w:color w:val="FF0000"/>
          <w:lang w:eastAsia="es-PY"/>
        </w:rPr>
        <w:t>.</w:t>
      </w:r>
    </w:p>
    <w:p w14:paraId="686C3273" w14:textId="77777777" w:rsidR="003A3E4B" w:rsidRPr="00370012" w:rsidRDefault="008C1942" w:rsidP="008C1942">
      <w:pPr>
        <w:pStyle w:val="Estilo2Car"/>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lastRenderedPageBreak/>
        <w:t>ACLARACIÓN DE LAS OFERTAS</w:t>
      </w:r>
      <w:r w:rsidRPr="00370012">
        <w:rPr>
          <w:rFonts w:asciiTheme="majorHAnsi" w:hAnsiTheme="majorHAnsi" w:cstheme="majorHAnsi"/>
        </w:rPr>
        <w:tab/>
      </w:r>
      <w:r w:rsidRPr="00370012">
        <w:rPr>
          <w:rFonts w:asciiTheme="majorHAnsi" w:hAnsiTheme="majorHAnsi" w:cstheme="majorHAnsi"/>
        </w:rPr>
        <w:tab/>
      </w:r>
      <w:r w:rsidRPr="00370012">
        <w:rPr>
          <w:rFonts w:asciiTheme="majorHAnsi" w:hAnsiTheme="majorHAnsi" w:cstheme="majorHAnsi"/>
        </w:rPr>
        <w:tab/>
      </w:r>
      <w:r w:rsidRPr="00370012">
        <w:rPr>
          <w:rFonts w:asciiTheme="majorHAnsi" w:hAnsiTheme="majorHAnsi" w:cstheme="majorHAnsi"/>
        </w:rPr>
        <w:tab/>
      </w:r>
      <w:r w:rsidRPr="00370012">
        <w:rPr>
          <w:rFonts w:asciiTheme="majorHAnsi" w:hAnsiTheme="majorHAnsi" w:cstheme="majorHAnsi"/>
        </w:rPr>
        <w:tab/>
      </w:r>
    </w:p>
    <w:p w14:paraId="19D84A2F"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Con el objeto de realizar la revisión, evaluación, comparación y posterior calificación de ofertas, el Comité de Evaluación podrá solicitar a los oferentes, aclaraciones respecto de sus ofertas, dichas solicitudes y las respuestas de los oferentes se realizarán por escrito.</w:t>
      </w:r>
    </w:p>
    <w:p w14:paraId="19A2AFD7"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A los efectos de confirmar la información o documentación suministrada por el oferente, el Comité de Evaluación, podrá solicitar aclaraciones a cualquier fuente pública o privada de información.</w:t>
      </w:r>
      <w:r w:rsidR="00805683">
        <w:rPr>
          <w:rFonts w:asciiTheme="majorHAnsi" w:eastAsia="Times New Roman" w:hAnsiTheme="majorHAnsi" w:cstheme="majorHAnsi"/>
          <w:color w:val="000000"/>
          <w:lang w:eastAsia="es-PY"/>
        </w:rPr>
        <w:t xml:space="preserve"> </w:t>
      </w:r>
      <w:r w:rsidRPr="00370012">
        <w:rPr>
          <w:rFonts w:asciiTheme="majorHAnsi" w:eastAsia="Times New Roman" w:hAnsiTheme="majorHAnsi" w:cstheme="majorHAnsi"/>
          <w:color w:val="000000"/>
          <w:lang w:eastAsia="es-PY"/>
        </w:rPr>
        <w:t>Las aclaraciones de los oferentes que no sean en respuesta a aquellas solicitadas por la convocante, no serán consideradas.</w:t>
      </w:r>
      <w:r w:rsidR="00805683">
        <w:rPr>
          <w:rFonts w:asciiTheme="majorHAnsi" w:eastAsia="Times New Roman" w:hAnsiTheme="majorHAnsi" w:cstheme="majorHAnsi"/>
          <w:color w:val="000000"/>
          <w:lang w:eastAsia="es-PY"/>
        </w:rPr>
        <w:t xml:space="preserve"> </w:t>
      </w:r>
      <w:r w:rsidRPr="00370012">
        <w:rPr>
          <w:rFonts w:asciiTheme="majorHAnsi" w:eastAsia="Times New Roman" w:hAnsiTheme="majorHAnsi" w:cstheme="majorHAnsi"/>
          <w:color w:val="000000"/>
          <w:lang w:eastAsia="es-PY"/>
        </w:rPr>
        <w:t xml:space="preserve">No se solicitará, ofrecerá, ni permitirá ninguna modificación a los precios ni a la sustancia de la oferta, excepto para confirmar la corrección de errores aritmético.  </w:t>
      </w:r>
    </w:p>
    <w:p w14:paraId="11407884" w14:textId="77777777" w:rsidR="003F35B3" w:rsidRPr="00370012" w:rsidRDefault="003F35B3" w:rsidP="00636C3A">
      <w:pPr>
        <w:pStyle w:val="Hipervnculo"/>
        <w:jc w:val="both"/>
        <w:rPr>
          <w:rFonts w:asciiTheme="majorHAnsi" w:hAnsiTheme="majorHAnsi" w:cstheme="majorHAnsi"/>
          <w:b/>
        </w:rPr>
      </w:pPr>
    </w:p>
    <w:p w14:paraId="715C1646" w14:textId="77777777" w:rsidR="003A3E4B" w:rsidRPr="00370012" w:rsidRDefault="00805683" w:rsidP="00805683">
      <w:pPr>
        <w:pStyle w:val="Estilo2Car"/>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DISCONFORMIDADES, ERRORES Y OMISIONES</w:t>
      </w:r>
    </w:p>
    <w:p w14:paraId="74CF6FB7"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Siempre y cuando una oferta se ajuste sustancialmente a las bases de la contratación, el Comité de Evaluación, requerirá que cualquier disconformidad u omisión que no constituya una desviación significativa, sea subsanada en cuanto a la información o documentación que permita al Comité de Evaluación realizar la calificación de la oferta.</w:t>
      </w:r>
    </w:p>
    <w:p w14:paraId="54FDBC16"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 xml:space="preserve">A tal efecto, el Comité de Evaluación emplazará por escrito al oferente a que presente la información o documentación necesaria, dentro de un plazo razonable </w:t>
      </w:r>
      <w:r w:rsidRPr="00805683">
        <w:rPr>
          <w:rFonts w:asciiTheme="majorHAnsi" w:eastAsia="Times New Roman" w:hAnsiTheme="majorHAnsi" w:cstheme="majorHAnsi"/>
          <w:b/>
          <w:u w:val="single"/>
          <w:lang w:val="es-ES_tradnl" w:eastAsia="es-PY"/>
        </w:rPr>
        <w:t xml:space="preserve">no menor a </w:t>
      </w:r>
      <w:r w:rsidR="00837DAB">
        <w:rPr>
          <w:rFonts w:asciiTheme="majorHAnsi" w:eastAsia="Times New Roman" w:hAnsiTheme="majorHAnsi" w:cstheme="majorHAnsi"/>
          <w:b/>
          <w:u w:val="single"/>
          <w:lang w:val="es-ES_tradnl" w:eastAsia="es-PY"/>
        </w:rPr>
        <w:t>1 (</w:t>
      </w:r>
      <w:r w:rsidRPr="00805683">
        <w:rPr>
          <w:rFonts w:asciiTheme="majorHAnsi" w:eastAsia="Times New Roman" w:hAnsiTheme="majorHAnsi" w:cstheme="majorHAnsi"/>
          <w:b/>
          <w:u w:val="single"/>
          <w:lang w:val="es-ES_tradnl" w:eastAsia="es-PY"/>
        </w:rPr>
        <w:t>un</w:t>
      </w:r>
      <w:r w:rsidR="000D1206">
        <w:rPr>
          <w:rFonts w:asciiTheme="majorHAnsi" w:eastAsia="Times New Roman" w:hAnsiTheme="majorHAnsi" w:cstheme="majorHAnsi"/>
          <w:b/>
          <w:u w:val="single"/>
          <w:lang w:val="es-ES_tradnl" w:eastAsia="es-PY"/>
        </w:rPr>
        <w:t>)</w:t>
      </w:r>
      <w:r w:rsidRPr="00805683">
        <w:rPr>
          <w:rFonts w:asciiTheme="majorHAnsi" w:eastAsia="Times New Roman" w:hAnsiTheme="majorHAnsi" w:cstheme="majorHAnsi"/>
          <w:b/>
          <w:u w:val="single"/>
          <w:lang w:val="es-ES_tradnl" w:eastAsia="es-PY"/>
        </w:rPr>
        <w:t xml:space="preserve"> día hábil,</w:t>
      </w:r>
      <w:r w:rsidRPr="00805683">
        <w:rPr>
          <w:rFonts w:asciiTheme="majorHAnsi" w:eastAsia="Times New Roman" w:hAnsiTheme="majorHAnsi" w:cstheme="majorHAnsi"/>
          <w:lang w:val="es-ES_tradnl" w:eastAsia="es-PY"/>
        </w:rPr>
        <w:t xml:space="preserve"> </w:t>
      </w:r>
      <w:r w:rsidRPr="00370012">
        <w:rPr>
          <w:rFonts w:asciiTheme="majorHAnsi" w:eastAsia="Times New Roman" w:hAnsiTheme="majorHAnsi" w:cstheme="majorHAnsi"/>
          <w:color w:val="000000"/>
          <w:lang w:val="es-ES_tradnl" w:eastAsia="es-PY"/>
        </w:rPr>
        <w:t>bajo apercibimiento de rechazo de la oferta. El Comité de Evaluación podrá reiterar el pedido cuando la respuesta no resulte satisfactoria, toda vez que no se viole el principio de igualdad.</w:t>
      </w:r>
    </w:p>
    <w:p w14:paraId="25257488" w14:textId="63D2CBC2"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 xml:space="preserve">Con la condición de que la oferta cumpla sustancialmente con los Documentos de la </w:t>
      </w:r>
      <w:r w:rsidR="00DA25BC">
        <w:rPr>
          <w:rFonts w:asciiTheme="majorHAnsi" w:eastAsia="Times New Roman" w:hAnsiTheme="majorHAnsi" w:cstheme="majorHAnsi"/>
          <w:color w:val="000000"/>
          <w:lang w:val="es-ES_tradnl" w:eastAsia="es-PY"/>
        </w:rPr>
        <w:t>Procedimiento de adquisición</w:t>
      </w:r>
      <w:r w:rsidRPr="00370012">
        <w:rPr>
          <w:rFonts w:asciiTheme="majorHAnsi" w:eastAsia="Times New Roman" w:hAnsiTheme="majorHAnsi" w:cstheme="majorHAnsi"/>
          <w:color w:val="000000"/>
          <w:lang w:val="es-ES_tradnl" w:eastAsia="es-PY"/>
        </w:rPr>
        <w:t>, la convocante corregirá errores aritméticos de la siguiente manera y notificará al oferente para su aceptación:</w:t>
      </w:r>
    </w:p>
    <w:p w14:paraId="28F44566"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a)  Si hay una discrepancia entre un precio unitario y el precio total obtenido al multiplicar ese precio unitario por las cantidades correspondientes, prevalecerá el precio unitario y el precio total será corregido.</w:t>
      </w:r>
    </w:p>
    <w:p w14:paraId="3E17122D"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b)  Si hay un error en un total que corresponde a la suma o resta de subtotales, los subtotales prevalecerán y se corregirá el total.</w:t>
      </w:r>
    </w:p>
    <w:p w14:paraId="16212410"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c) En caso que el oferente haya cotizado su precio en guaraníes con décimos y céntimos la convocante procederá a realizar el redondeo hacia abajo.</w:t>
      </w:r>
    </w:p>
    <w:p w14:paraId="107139E1" w14:textId="77777777" w:rsidR="003A3E4B" w:rsidRPr="00370012" w:rsidRDefault="003A3E4B" w:rsidP="00636C3A">
      <w:pPr>
        <w:spacing w:after="0"/>
        <w:jc w:val="both"/>
        <w:rPr>
          <w:rFonts w:asciiTheme="majorHAnsi" w:eastAsia="Times New Roman" w:hAnsiTheme="majorHAnsi" w:cstheme="majorHAnsi"/>
          <w:color w:val="000000"/>
          <w:lang w:val="es-ES_tradnl" w:eastAsia="es-PY"/>
        </w:rPr>
      </w:pPr>
      <w:r w:rsidRPr="00370012">
        <w:rPr>
          <w:rFonts w:asciiTheme="majorHAnsi" w:eastAsia="Times New Roman" w:hAnsiTheme="majorHAnsi" w:cstheme="majorHAnsi"/>
          <w:color w:val="000000"/>
          <w:lang w:val="es-ES_tradnl" w:eastAsia="es-PY"/>
        </w:rPr>
        <w:t>Si hay una discrepancia entre palabras y cifras, prevalecerá el monto expresado en palabras a menos que la cantidad expresada en palabras corresponda a un error aritmético, en cuyo caso prevalecerán las cantidades en cifras de conformidad con los párrafos (a) y (b) mencionados.</w:t>
      </w:r>
    </w:p>
    <w:p w14:paraId="62C62BD3" w14:textId="77777777" w:rsidR="003A3E4B" w:rsidRPr="00370012" w:rsidRDefault="003A3E4B" w:rsidP="00636C3A">
      <w:pPr>
        <w:spacing w:after="0"/>
        <w:jc w:val="both"/>
        <w:rPr>
          <w:rFonts w:asciiTheme="majorHAnsi" w:eastAsia="Times New Roman" w:hAnsiTheme="majorHAnsi" w:cstheme="majorHAnsi"/>
          <w:color w:val="000000"/>
          <w:lang w:eastAsia="es-PY"/>
        </w:rPr>
      </w:pPr>
    </w:p>
    <w:p w14:paraId="678C3B9B" w14:textId="77777777" w:rsidR="003A3E4B" w:rsidRPr="00370012" w:rsidRDefault="00805683" w:rsidP="00805683">
      <w:pPr>
        <w:pStyle w:val="Estilo2Car"/>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CRITERIO DE DESEMPATE DE OFERTAS</w:t>
      </w:r>
    </w:p>
    <w:bookmarkEnd w:id="14"/>
    <w:p w14:paraId="09D7901D" w14:textId="77777777" w:rsidR="003A3E4B" w:rsidRPr="00E21F1F" w:rsidRDefault="003A3E4B" w:rsidP="00636C3A">
      <w:pPr>
        <w:spacing w:after="0"/>
        <w:jc w:val="both"/>
        <w:rPr>
          <w:rFonts w:asciiTheme="majorHAnsi" w:eastAsia="Times New Roman" w:hAnsiTheme="majorHAnsi" w:cstheme="majorHAnsi"/>
          <w:b/>
          <w:bCs/>
          <w:i/>
          <w:u w:val="single"/>
          <w:lang w:eastAsia="es-PY"/>
        </w:rPr>
      </w:pPr>
      <w:r w:rsidRPr="00370012">
        <w:rPr>
          <w:rFonts w:asciiTheme="majorHAnsi" w:eastAsia="Times New Roman" w:hAnsiTheme="majorHAnsi" w:cstheme="majorHAnsi"/>
          <w:color w:val="000000"/>
          <w:lang w:eastAsia="es-PY"/>
        </w:rPr>
        <w:t xml:space="preserve">En caso de que existan dos o más oferentes solventes que cumplan con todos los requisitos establecidos en el pliego de bases y condiciones del procedimiento de contratación, igualen en precio y sean sus ofertas las más bajas, el comité de evaluación determinará cuál de ellas es la mejor calificada para ejecutar el contrato utilizando los criterios </w:t>
      </w:r>
      <w:r w:rsidR="003D6723" w:rsidRPr="00370012">
        <w:rPr>
          <w:rFonts w:asciiTheme="majorHAnsi" w:eastAsia="Times New Roman" w:hAnsiTheme="majorHAnsi" w:cstheme="majorHAnsi"/>
          <w:color w:val="000000"/>
          <w:lang w:eastAsia="es-PY"/>
        </w:rPr>
        <w:t xml:space="preserve">de cual proveedor posee mayor </w:t>
      </w:r>
      <w:r w:rsidR="003D6723" w:rsidRPr="00E21F1F">
        <w:rPr>
          <w:rFonts w:asciiTheme="majorHAnsi" w:eastAsia="Times New Roman" w:hAnsiTheme="majorHAnsi" w:cstheme="majorHAnsi"/>
          <w:b/>
          <w:i/>
          <w:u w:val="single"/>
          <w:lang w:eastAsia="es-PY"/>
        </w:rPr>
        <w:t>cantidad de inscriptos en IPS.</w:t>
      </w:r>
    </w:p>
    <w:p w14:paraId="2DC0641B" w14:textId="77777777" w:rsidR="003A3E4B" w:rsidRPr="00370012" w:rsidRDefault="003A3E4B" w:rsidP="00636C3A">
      <w:pPr>
        <w:spacing w:after="0"/>
        <w:jc w:val="both"/>
        <w:rPr>
          <w:rFonts w:asciiTheme="majorHAnsi" w:hAnsiTheme="majorHAnsi" w:cstheme="majorHAnsi"/>
          <w:bCs/>
          <w:i/>
          <w:color w:val="000000"/>
          <w:lang w:eastAsia="es-PY"/>
        </w:rPr>
      </w:pPr>
    </w:p>
    <w:p w14:paraId="48CD22CB" w14:textId="77777777" w:rsidR="003A3E4B" w:rsidRPr="00370012" w:rsidRDefault="00572A58" w:rsidP="00572A58">
      <w:pPr>
        <w:pStyle w:val="Estilo2Car"/>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CRITERIOS DE ADJUDICACIÓN</w:t>
      </w:r>
    </w:p>
    <w:p w14:paraId="00BCAE6D"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La adjudicación de la oferta solo podrá fundamentarse en la evaluación de los criterios señalados en los documentos del procedimiento de contratación.</w:t>
      </w:r>
    </w:p>
    <w:p w14:paraId="751F7DFF" w14:textId="77777777" w:rsidR="003A3E4B" w:rsidRPr="00370012" w:rsidRDefault="00273D0A" w:rsidP="00D14CD3">
      <w:pPr>
        <w:spacing w:after="0" w:line="240" w:lineRule="auto"/>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L</w:t>
      </w:r>
      <w:r w:rsidR="003A3E4B" w:rsidRPr="00370012">
        <w:rPr>
          <w:rFonts w:asciiTheme="majorHAnsi" w:eastAsia="Times New Roman" w:hAnsiTheme="majorHAnsi" w:cstheme="majorHAnsi"/>
          <w:color w:val="000000"/>
          <w:lang w:eastAsia="es-PY"/>
        </w:rPr>
        <w:t>a convocante adjudicará el contrato al oferente cuya oferta haya sido evaluada como la más baja y cumpla sustancialmente con los requisitos de las bases y condiciones, siempre y cuando la convocante determine que el oferente está calificado para ejecutar el contrato satisfactoriamente.</w:t>
      </w:r>
    </w:p>
    <w:p w14:paraId="54319D24" w14:textId="77566460" w:rsidR="003A3E4B" w:rsidRPr="00370012" w:rsidRDefault="003A3E4B" w:rsidP="00815445">
      <w:pPr>
        <w:pStyle w:val="Hipervnculo"/>
        <w:numPr>
          <w:ilvl w:val="1"/>
          <w:numId w:val="30"/>
        </w:numPr>
        <w:jc w:val="both"/>
        <w:rPr>
          <w:rFonts w:asciiTheme="majorHAnsi" w:hAnsiTheme="majorHAnsi" w:cstheme="majorHAnsi"/>
          <w:b/>
        </w:rPr>
      </w:pPr>
      <w:r w:rsidRPr="00370012">
        <w:rPr>
          <w:rFonts w:asciiTheme="majorHAnsi" w:hAnsiTheme="majorHAnsi" w:cstheme="majorHAnsi"/>
        </w:rPr>
        <w:lastRenderedPageBreak/>
        <w:t xml:space="preserve">Al momento de adjudicar el contrato, la convocante se reserva el derecho a disminuir la cantidad de </w:t>
      </w:r>
      <w:r w:rsidRPr="00D14CD3">
        <w:rPr>
          <w:rFonts w:asciiTheme="majorHAnsi" w:hAnsiTheme="majorHAnsi" w:cstheme="majorHAnsi"/>
          <w:i/>
          <w:u w:val="single"/>
        </w:rPr>
        <w:t>Bienes y/o</w:t>
      </w:r>
      <w:r w:rsidR="00FB4066" w:rsidRPr="00D14CD3">
        <w:rPr>
          <w:rFonts w:asciiTheme="majorHAnsi" w:hAnsiTheme="majorHAnsi" w:cstheme="majorHAnsi"/>
          <w:i/>
          <w:u w:val="single"/>
        </w:rPr>
        <w:t xml:space="preserve"> Insumos</w:t>
      </w:r>
      <w:r w:rsidRPr="00D14CD3">
        <w:rPr>
          <w:rFonts w:asciiTheme="majorHAnsi" w:hAnsiTheme="majorHAnsi" w:cstheme="majorHAnsi"/>
        </w:rPr>
        <w:t xml:space="preserve"> </w:t>
      </w:r>
      <w:r w:rsidRPr="00370012">
        <w:rPr>
          <w:rFonts w:asciiTheme="majorHAnsi" w:hAnsiTheme="majorHAnsi" w:cstheme="majorHAnsi"/>
        </w:rPr>
        <w:t xml:space="preserve">requeridos, por razones de disponibilidad presupuestaria u otras razones debidamente justificadas. Estas variaciones no podrán alterar los precios unitarios u otros términos y condiciones de la oferta y de los documentos de la </w:t>
      </w:r>
      <w:r w:rsidR="00DA25BC">
        <w:rPr>
          <w:rFonts w:asciiTheme="majorHAnsi" w:hAnsiTheme="majorHAnsi" w:cstheme="majorHAnsi"/>
        </w:rPr>
        <w:t>procedimiento de adquisición</w:t>
      </w:r>
      <w:r w:rsidRPr="00370012">
        <w:rPr>
          <w:rFonts w:asciiTheme="majorHAnsi" w:hAnsiTheme="majorHAnsi" w:cstheme="majorHAnsi"/>
        </w:rPr>
        <w:t>.</w:t>
      </w:r>
    </w:p>
    <w:p w14:paraId="0E665183" w14:textId="77777777" w:rsidR="003A3E4B" w:rsidRPr="00370012" w:rsidRDefault="003A3E4B" w:rsidP="00636C3A">
      <w:pPr>
        <w:pStyle w:val="Hipervnculo"/>
        <w:jc w:val="both"/>
        <w:rPr>
          <w:rFonts w:asciiTheme="majorHAnsi" w:hAnsiTheme="majorHAnsi" w:cstheme="majorHAnsi"/>
          <w:b/>
        </w:rPr>
      </w:pPr>
    </w:p>
    <w:p w14:paraId="0651C37E" w14:textId="77777777" w:rsidR="003A3E4B" w:rsidRPr="00370012" w:rsidRDefault="00E34A0E" w:rsidP="00E34A0E">
      <w:pPr>
        <w:pStyle w:val="Estilo2Car"/>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370012">
        <w:rPr>
          <w:rFonts w:asciiTheme="majorHAnsi" w:hAnsiTheme="majorHAnsi" w:cstheme="majorHAnsi"/>
        </w:rPr>
        <w:t>NOTIFICACIONES</w:t>
      </w:r>
    </w:p>
    <w:p w14:paraId="09C57565"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Cuando la convocante opte por notificar la adjudicación a través de</w:t>
      </w:r>
      <w:r w:rsidR="00A914E1" w:rsidRPr="00370012">
        <w:rPr>
          <w:rFonts w:asciiTheme="majorHAnsi" w:eastAsia="Times New Roman" w:hAnsiTheme="majorHAnsi" w:cstheme="majorHAnsi"/>
          <w:color w:val="000000"/>
          <w:lang w:eastAsia="es-PY"/>
        </w:rPr>
        <w:t xml:space="preserve"> correo </w:t>
      </w:r>
      <w:r w:rsidR="00E074AA" w:rsidRPr="00370012">
        <w:rPr>
          <w:rFonts w:asciiTheme="majorHAnsi" w:eastAsia="Times New Roman" w:hAnsiTheme="majorHAnsi" w:cstheme="majorHAnsi"/>
          <w:color w:val="000000"/>
          <w:lang w:eastAsia="es-PY"/>
        </w:rPr>
        <w:t>electrónico</w:t>
      </w:r>
      <w:r w:rsidRPr="00370012">
        <w:rPr>
          <w:rFonts w:asciiTheme="majorHAnsi" w:eastAsia="Times New Roman" w:hAnsiTheme="majorHAnsi" w:cstheme="majorHAnsi"/>
          <w:color w:val="000000"/>
          <w:lang w:eastAsia="es-PY"/>
        </w:rPr>
        <w:t>, a los correos declarados en el Registro de Proveedores del Estado de los oferentes presentados. A efectos de la notificación oficial, solo serán considerados tales correos electrónicos. La notificación comprenderá la Resolución de la adjudicación, el informe de evaluación.</w:t>
      </w:r>
    </w:p>
    <w:p w14:paraId="77355524"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La no entrega del informe en ocasión de la notificación, suspende el plazo para formular protestas hasta tanto la convocante haga entrega de dicha copia al oferente solicitante.</w:t>
      </w:r>
    </w:p>
    <w:p w14:paraId="541041C9" w14:textId="77777777" w:rsidR="003A3E4B" w:rsidRPr="00370012" w:rsidRDefault="003A3E4B"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Las cancelaciones o declaraciones desiertas deberán ser notificadas a todos los oferentes, según el procedimiento indicado precedentemente.      </w:t>
      </w:r>
    </w:p>
    <w:p w14:paraId="0EB891AA" w14:textId="77777777" w:rsidR="003A3E4B" w:rsidRPr="00370012" w:rsidRDefault="003A3E4B" w:rsidP="00636C3A">
      <w:pPr>
        <w:spacing w:after="0"/>
        <w:jc w:val="both"/>
        <w:rPr>
          <w:rFonts w:asciiTheme="majorHAnsi" w:hAnsiTheme="majorHAnsi" w:cstheme="majorHAnsi"/>
          <w:lang w:val="es-ES_tradnl"/>
        </w:rPr>
      </w:pPr>
      <w:r w:rsidRPr="00370012">
        <w:rPr>
          <w:rFonts w:asciiTheme="majorHAnsi" w:eastAsia="Times New Roman" w:hAnsiTheme="majorHAnsi" w:cstheme="majorHAnsi"/>
          <w:color w:val="000000"/>
          <w:lang w:eastAsia="es-PY"/>
        </w:rPr>
        <w:t>Las notificaciones realizadas en virtud al contrato, deberán ser por escrito y dirigirse a la dirección indicada en el contrato.</w:t>
      </w:r>
    </w:p>
    <w:p w14:paraId="59B8F1D6" w14:textId="77777777" w:rsidR="003A3E4B" w:rsidRPr="00370012" w:rsidRDefault="003A3E4B" w:rsidP="00636C3A">
      <w:pPr>
        <w:pStyle w:val="Hipervnculo"/>
        <w:jc w:val="both"/>
        <w:rPr>
          <w:rFonts w:asciiTheme="majorHAnsi" w:hAnsiTheme="majorHAnsi" w:cstheme="majorHAnsi"/>
        </w:rPr>
      </w:pPr>
    </w:p>
    <w:p w14:paraId="272278BC" w14:textId="77777777" w:rsidR="003A3E4B" w:rsidRPr="00370012" w:rsidRDefault="00F534D3" w:rsidP="00F534D3">
      <w:pPr>
        <w:pStyle w:val="Estilo2Car"/>
        <w:numPr>
          <w:ilvl w:val="0"/>
          <w:numId w:val="35"/>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bookmarkStart w:id="15" w:name="_Hlk32826954"/>
      <w:r w:rsidRPr="00370012">
        <w:rPr>
          <w:rFonts w:asciiTheme="majorHAnsi" w:hAnsiTheme="majorHAnsi" w:cstheme="majorHAnsi"/>
        </w:rPr>
        <w:t>PROTESTAS</w:t>
      </w:r>
    </w:p>
    <w:bookmarkEnd w:id="15"/>
    <w:p w14:paraId="707E7D8A" w14:textId="798DC0D0" w:rsidR="002E0CCE" w:rsidRPr="00B01C33" w:rsidRDefault="003A3E4B" w:rsidP="00636C3A">
      <w:pPr>
        <w:spacing w:after="0"/>
        <w:jc w:val="both"/>
        <w:rPr>
          <w:rFonts w:asciiTheme="majorHAnsi" w:eastAsia="Times New Roman" w:hAnsiTheme="majorHAnsi" w:cstheme="majorHAnsi"/>
          <w:color w:val="000000"/>
          <w:lang w:eastAsia="es-PY"/>
        </w:rPr>
      </w:pPr>
      <w:r w:rsidRPr="00B01C33">
        <w:rPr>
          <w:rFonts w:asciiTheme="majorHAnsi" w:eastAsia="Times New Roman" w:hAnsiTheme="majorHAnsi" w:cstheme="majorHAnsi"/>
          <w:color w:val="000000"/>
          <w:lang w:eastAsia="es-PY"/>
        </w:rPr>
        <w:t xml:space="preserve">Una vez notificado el resultado del proceso, el oferente tendrá la facultad de </w:t>
      </w:r>
      <w:r w:rsidR="005B530D" w:rsidRPr="00B01C33">
        <w:rPr>
          <w:rFonts w:asciiTheme="majorHAnsi" w:eastAsia="Times New Roman" w:hAnsiTheme="majorHAnsi" w:cstheme="majorHAnsi"/>
          <w:color w:val="000000"/>
          <w:lang w:eastAsia="es-PY"/>
        </w:rPr>
        <w:t xml:space="preserve">presentar una protesta a través de una nota en </w:t>
      </w:r>
      <w:r w:rsidR="005B530D" w:rsidRPr="00B01C33">
        <w:rPr>
          <w:rFonts w:asciiTheme="majorHAnsi" w:eastAsia="Times New Roman" w:hAnsiTheme="majorHAnsi" w:cstheme="majorHAnsi"/>
          <w:b/>
          <w:i/>
          <w:color w:val="000000"/>
          <w:u w:val="single"/>
          <w:lang w:eastAsia="es-PY"/>
        </w:rPr>
        <w:t>forma física</w:t>
      </w:r>
      <w:r w:rsidR="002E0CCE" w:rsidRPr="00B01C33">
        <w:rPr>
          <w:rFonts w:asciiTheme="majorHAnsi" w:eastAsia="Times New Roman" w:hAnsiTheme="majorHAnsi" w:cstheme="majorHAnsi"/>
          <w:b/>
          <w:i/>
          <w:color w:val="000000"/>
          <w:u w:val="single"/>
          <w:lang w:eastAsia="es-PY"/>
        </w:rPr>
        <w:t xml:space="preserve"> </w:t>
      </w:r>
      <w:r w:rsidR="002E0CCE" w:rsidRPr="00B01C33">
        <w:rPr>
          <w:rFonts w:asciiTheme="majorHAnsi" w:eastAsia="Times New Roman" w:hAnsiTheme="majorHAnsi" w:cstheme="majorHAnsi"/>
          <w:color w:val="000000"/>
          <w:lang w:eastAsia="es-PY"/>
        </w:rPr>
        <w:t xml:space="preserve">en </w:t>
      </w:r>
      <w:r w:rsidR="002E0CCE" w:rsidRPr="00B01C33">
        <w:rPr>
          <w:rFonts w:asciiTheme="majorHAnsi" w:eastAsia="Times New Roman" w:hAnsiTheme="majorHAnsi" w:cstheme="majorHAnsi"/>
          <w:b/>
          <w:i/>
          <w:color w:val="000000"/>
          <w:u w:val="single"/>
          <w:lang w:eastAsia="es-PY"/>
        </w:rPr>
        <w:t>Mesa de Entrada</w:t>
      </w:r>
      <w:r w:rsidR="002B74DB" w:rsidRPr="00B01C33">
        <w:rPr>
          <w:rFonts w:asciiTheme="majorHAnsi" w:eastAsia="Times New Roman" w:hAnsiTheme="majorHAnsi" w:cstheme="majorHAnsi"/>
          <w:color w:val="000000"/>
          <w:u w:val="single"/>
          <w:lang w:eastAsia="es-PY"/>
        </w:rPr>
        <w:t xml:space="preserve"> </w:t>
      </w:r>
      <w:r w:rsidR="002B74DB" w:rsidRPr="00B01C33">
        <w:rPr>
          <w:rFonts w:asciiTheme="majorHAnsi" w:eastAsia="Times New Roman" w:hAnsiTheme="majorHAnsi" w:cstheme="majorHAnsi"/>
          <w:color w:val="000000"/>
          <w:lang w:eastAsia="es-PY"/>
        </w:rPr>
        <w:t xml:space="preserve">de </w:t>
      </w:r>
      <w:r w:rsidR="0027167B">
        <w:rPr>
          <w:rFonts w:asciiTheme="majorHAnsi" w:eastAsia="Times New Roman" w:hAnsiTheme="majorHAnsi" w:cstheme="majorHAnsi"/>
          <w:color w:val="000000"/>
          <w:lang w:eastAsia="es-PY"/>
        </w:rPr>
        <w:t>la Dirección General de Administración y Finanzas del Rectorado de la UNA</w:t>
      </w:r>
      <w:r w:rsidR="002B74DB" w:rsidRPr="00B01C33">
        <w:rPr>
          <w:rFonts w:asciiTheme="majorHAnsi" w:eastAsia="Times New Roman" w:hAnsiTheme="majorHAnsi" w:cstheme="majorHAnsi"/>
          <w:color w:val="000000"/>
          <w:lang w:eastAsia="es-PY"/>
        </w:rPr>
        <w:t>, Campus Universitario San Lorenzo</w:t>
      </w:r>
      <w:r w:rsidR="005B530D" w:rsidRPr="00B01C33">
        <w:rPr>
          <w:rFonts w:asciiTheme="majorHAnsi" w:eastAsia="Times New Roman" w:hAnsiTheme="majorHAnsi" w:cstheme="majorHAnsi"/>
          <w:color w:val="000000"/>
          <w:lang w:eastAsia="es-PY"/>
        </w:rPr>
        <w:t xml:space="preserve">, en un </w:t>
      </w:r>
      <w:r w:rsidR="005B530D" w:rsidRPr="00B01C33">
        <w:rPr>
          <w:rFonts w:asciiTheme="majorHAnsi" w:eastAsia="Times New Roman" w:hAnsiTheme="majorHAnsi" w:cstheme="majorHAnsi"/>
          <w:b/>
          <w:i/>
          <w:u w:val="single"/>
          <w:lang w:eastAsia="es-PY"/>
        </w:rPr>
        <w:t>plazo de 2</w:t>
      </w:r>
      <w:r w:rsidR="00EE7C1A">
        <w:rPr>
          <w:rFonts w:asciiTheme="majorHAnsi" w:eastAsia="Times New Roman" w:hAnsiTheme="majorHAnsi" w:cstheme="majorHAnsi"/>
          <w:b/>
          <w:i/>
          <w:u w:val="single"/>
          <w:lang w:eastAsia="es-PY"/>
        </w:rPr>
        <w:t xml:space="preserve"> (dos)</w:t>
      </w:r>
      <w:r w:rsidR="005B530D" w:rsidRPr="00B01C33">
        <w:rPr>
          <w:rFonts w:asciiTheme="majorHAnsi" w:eastAsia="Times New Roman" w:hAnsiTheme="majorHAnsi" w:cstheme="majorHAnsi"/>
          <w:b/>
          <w:i/>
          <w:u w:val="single"/>
          <w:lang w:eastAsia="es-PY"/>
        </w:rPr>
        <w:t xml:space="preserve"> días hábiles</w:t>
      </w:r>
      <w:r w:rsidR="005B530D" w:rsidRPr="00B01C33">
        <w:rPr>
          <w:rFonts w:asciiTheme="majorHAnsi" w:eastAsia="Times New Roman" w:hAnsiTheme="majorHAnsi" w:cstheme="majorHAnsi"/>
          <w:color w:val="000000"/>
          <w:lang w:eastAsia="es-PY"/>
        </w:rPr>
        <w:t>,</w:t>
      </w:r>
      <w:r w:rsidR="002E0CCE" w:rsidRPr="00B01C33">
        <w:rPr>
          <w:rFonts w:asciiTheme="majorHAnsi" w:eastAsia="Times New Roman" w:hAnsiTheme="majorHAnsi" w:cstheme="majorHAnsi"/>
          <w:color w:val="000000"/>
          <w:lang w:eastAsia="es-PY"/>
        </w:rPr>
        <w:t xml:space="preserve"> posteriores a la notificación de la adjudicación.</w:t>
      </w:r>
    </w:p>
    <w:p w14:paraId="3FA30EA5" w14:textId="335EE109" w:rsidR="00CB310A" w:rsidRDefault="0060294B" w:rsidP="00636C3A">
      <w:pPr>
        <w:spacing w:after="0"/>
        <w:jc w:val="both"/>
        <w:rPr>
          <w:rFonts w:asciiTheme="majorHAnsi" w:eastAsia="Times New Roman" w:hAnsiTheme="majorHAnsi" w:cstheme="majorHAnsi"/>
          <w:color w:val="000000"/>
          <w:lang w:eastAsia="es-PY"/>
        </w:rPr>
      </w:pPr>
      <w:r w:rsidRPr="0060294B">
        <w:rPr>
          <w:rFonts w:asciiTheme="majorHAnsi" w:eastAsia="Times New Roman" w:hAnsiTheme="majorHAnsi" w:cstheme="majorHAnsi"/>
          <w:color w:val="000000"/>
          <w:lang w:eastAsia="es-PY"/>
        </w:rPr>
        <w:t>La protesta debe</w:t>
      </w:r>
      <w:r w:rsidR="00D738E0">
        <w:rPr>
          <w:rFonts w:asciiTheme="majorHAnsi" w:eastAsia="Times New Roman" w:hAnsiTheme="majorHAnsi" w:cstheme="majorHAnsi"/>
          <w:color w:val="000000"/>
          <w:lang w:eastAsia="es-PY"/>
        </w:rPr>
        <w:t>rá</w:t>
      </w:r>
      <w:r w:rsidRPr="0060294B">
        <w:rPr>
          <w:rFonts w:asciiTheme="majorHAnsi" w:eastAsia="Times New Roman" w:hAnsiTheme="majorHAnsi" w:cstheme="majorHAnsi"/>
          <w:color w:val="000000"/>
          <w:lang w:eastAsia="es-PY"/>
        </w:rPr>
        <w:t xml:space="preserve"> ser presentada a través de </w:t>
      </w:r>
      <w:r w:rsidRPr="000F6842">
        <w:rPr>
          <w:rFonts w:asciiTheme="majorHAnsi" w:eastAsia="Times New Roman" w:hAnsiTheme="majorHAnsi" w:cstheme="majorHAnsi"/>
          <w:b/>
          <w:i/>
          <w:color w:val="000000"/>
          <w:u w:val="single"/>
          <w:lang w:eastAsia="es-PY"/>
        </w:rPr>
        <w:t>una nota</w:t>
      </w:r>
      <w:r w:rsidRPr="0060294B">
        <w:rPr>
          <w:rFonts w:asciiTheme="majorHAnsi" w:eastAsia="Times New Roman" w:hAnsiTheme="majorHAnsi" w:cstheme="majorHAnsi"/>
          <w:color w:val="000000"/>
          <w:lang w:eastAsia="es-PY"/>
        </w:rPr>
        <w:t xml:space="preserve"> </w:t>
      </w:r>
      <w:r w:rsidR="00402DA7">
        <w:rPr>
          <w:rFonts w:asciiTheme="majorHAnsi" w:eastAsia="Times New Roman" w:hAnsiTheme="majorHAnsi" w:cstheme="majorHAnsi"/>
          <w:color w:val="000000"/>
          <w:lang w:eastAsia="es-PY"/>
        </w:rPr>
        <w:t xml:space="preserve">dirigida </w:t>
      </w:r>
      <w:r w:rsidRPr="0060294B">
        <w:rPr>
          <w:rFonts w:asciiTheme="majorHAnsi" w:eastAsia="Times New Roman" w:hAnsiTheme="majorHAnsi" w:cstheme="majorHAnsi"/>
          <w:color w:val="000000"/>
          <w:lang w:eastAsia="es-PY"/>
        </w:rPr>
        <w:t>a la</w:t>
      </w:r>
      <w:r w:rsidR="0027167B">
        <w:rPr>
          <w:rFonts w:asciiTheme="majorHAnsi" w:eastAsia="Times New Roman" w:hAnsiTheme="majorHAnsi" w:cstheme="majorHAnsi"/>
          <w:color w:val="000000"/>
          <w:lang w:eastAsia="es-PY"/>
        </w:rPr>
        <w:t xml:space="preserve"> Lic. MAXIMA MACIEL VEGA</w:t>
      </w:r>
      <w:r>
        <w:rPr>
          <w:rFonts w:asciiTheme="majorHAnsi" w:eastAsia="Times New Roman" w:hAnsiTheme="majorHAnsi" w:cstheme="majorHAnsi"/>
          <w:color w:val="000000"/>
          <w:lang w:eastAsia="es-PY"/>
        </w:rPr>
        <w:t>, la misma deberá</w:t>
      </w:r>
      <w:r w:rsidR="00CB310A">
        <w:rPr>
          <w:rFonts w:asciiTheme="majorHAnsi" w:eastAsia="Times New Roman" w:hAnsiTheme="majorHAnsi" w:cstheme="majorHAnsi"/>
          <w:color w:val="000000"/>
          <w:lang w:eastAsia="es-PY"/>
        </w:rPr>
        <w:t>:</w:t>
      </w:r>
    </w:p>
    <w:p w14:paraId="6D759EFD" w14:textId="77777777" w:rsidR="0060294B" w:rsidRPr="00880EA9" w:rsidRDefault="0060294B" w:rsidP="00880EA9">
      <w:pPr>
        <w:pStyle w:val="Ttulo2Car"/>
        <w:numPr>
          <w:ilvl w:val="0"/>
          <w:numId w:val="36"/>
        </w:numPr>
        <w:spacing w:line="240" w:lineRule="auto"/>
        <w:ind w:left="426" w:hanging="284"/>
        <w:rPr>
          <w:rFonts w:asciiTheme="majorHAnsi" w:hAnsiTheme="majorHAnsi" w:cstheme="majorHAnsi"/>
          <w:color w:val="000000"/>
          <w:lang w:eastAsia="es-PY"/>
        </w:rPr>
      </w:pPr>
      <w:r w:rsidRPr="00880EA9">
        <w:rPr>
          <w:rFonts w:asciiTheme="majorHAnsi" w:hAnsiTheme="majorHAnsi" w:cstheme="majorHAnsi"/>
          <w:color w:val="000000"/>
          <w:lang w:eastAsia="es-PY"/>
        </w:rPr>
        <w:t>Estar dentro del plazo dispuesto en este PBC</w:t>
      </w:r>
      <w:r w:rsidR="00A44D2A">
        <w:rPr>
          <w:rFonts w:asciiTheme="majorHAnsi" w:hAnsiTheme="majorHAnsi" w:cstheme="majorHAnsi"/>
          <w:color w:val="000000"/>
          <w:lang w:eastAsia="es-PY"/>
        </w:rPr>
        <w:t>;</w:t>
      </w:r>
    </w:p>
    <w:p w14:paraId="546141F3" w14:textId="77777777" w:rsidR="0060294B" w:rsidRPr="00880EA9" w:rsidRDefault="0060294B" w:rsidP="00880EA9">
      <w:pPr>
        <w:pStyle w:val="Ttulo2Car"/>
        <w:numPr>
          <w:ilvl w:val="0"/>
          <w:numId w:val="36"/>
        </w:numPr>
        <w:spacing w:line="240" w:lineRule="auto"/>
        <w:ind w:left="426" w:hanging="284"/>
        <w:rPr>
          <w:rFonts w:asciiTheme="majorHAnsi" w:hAnsiTheme="majorHAnsi" w:cstheme="majorHAnsi"/>
          <w:color w:val="000000"/>
          <w:lang w:eastAsia="es-PY"/>
        </w:rPr>
      </w:pPr>
      <w:r w:rsidRPr="00880EA9">
        <w:rPr>
          <w:rFonts w:asciiTheme="majorHAnsi" w:hAnsiTheme="majorHAnsi" w:cstheme="majorHAnsi"/>
          <w:color w:val="000000"/>
          <w:lang w:eastAsia="es-PY"/>
        </w:rPr>
        <w:t>Debe contener el Interés Legítimo</w:t>
      </w:r>
      <w:r w:rsidR="00AA502C">
        <w:rPr>
          <w:rFonts w:asciiTheme="majorHAnsi" w:hAnsiTheme="majorHAnsi" w:cstheme="majorHAnsi"/>
          <w:color w:val="000000"/>
          <w:lang w:eastAsia="es-PY"/>
        </w:rPr>
        <w:t xml:space="preserve"> de la parte protestante</w:t>
      </w:r>
      <w:r w:rsidR="00A44D2A">
        <w:rPr>
          <w:rFonts w:asciiTheme="majorHAnsi" w:hAnsiTheme="majorHAnsi" w:cstheme="majorHAnsi"/>
          <w:color w:val="000000"/>
          <w:lang w:eastAsia="es-PY"/>
        </w:rPr>
        <w:t>;</w:t>
      </w:r>
    </w:p>
    <w:p w14:paraId="322BF2CD" w14:textId="77777777" w:rsidR="0060294B" w:rsidRPr="007A6F76" w:rsidRDefault="0060294B" w:rsidP="005E1895">
      <w:pPr>
        <w:pStyle w:val="Ttulo2Car"/>
        <w:numPr>
          <w:ilvl w:val="0"/>
          <w:numId w:val="36"/>
        </w:numPr>
        <w:spacing w:line="240" w:lineRule="auto"/>
        <w:ind w:left="426" w:hanging="284"/>
        <w:rPr>
          <w:rFonts w:asciiTheme="majorHAnsi" w:hAnsiTheme="majorHAnsi" w:cstheme="majorHAnsi"/>
          <w:color w:val="000000"/>
          <w:lang w:eastAsia="es-PY"/>
        </w:rPr>
      </w:pPr>
      <w:r w:rsidRPr="007A6F76">
        <w:rPr>
          <w:rFonts w:asciiTheme="majorHAnsi" w:hAnsiTheme="majorHAnsi" w:cstheme="majorHAnsi"/>
          <w:color w:val="000000"/>
          <w:lang w:eastAsia="es-PY"/>
        </w:rPr>
        <w:t>El relato de los hechos</w:t>
      </w:r>
      <w:r w:rsidR="00AA502C" w:rsidRPr="007A6F76">
        <w:rPr>
          <w:rFonts w:asciiTheme="majorHAnsi" w:hAnsiTheme="majorHAnsi" w:cstheme="majorHAnsi"/>
          <w:color w:val="000000"/>
          <w:lang w:eastAsia="es-PY"/>
        </w:rPr>
        <w:t>; y</w:t>
      </w:r>
      <w:r w:rsidR="007A6F76" w:rsidRPr="007A6F76">
        <w:rPr>
          <w:rFonts w:asciiTheme="majorHAnsi" w:hAnsiTheme="majorHAnsi" w:cstheme="majorHAnsi"/>
          <w:color w:val="000000"/>
          <w:lang w:eastAsia="es-PY"/>
        </w:rPr>
        <w:t xml:space="preserve"> </w:t>
      </w:r>
      <w:r w:rsidRPr="007A6F76">
        <w:rPr>
          <w:rFonts w:asciiTheme="majorHAnsi" w:hAnsiTheme="majorHAnsi" w:cstheme="majorHAnsi"/>
          <w:color w:val="000000"/>
          <w:lang w:eastAsia="es-PY"/>
        </w:rPr>
        <w:t>Petitorio</w:t>
      </w:r>
      <w:r w:rsidR="00A44D2A" w:rsidRPr="007A6F76">
        <w:rPr>
          <w:rFonts w:asciiTheme="majorHAnsi" w:hAnsiTheme="majorHAnsi" w:cstheme="majorHAnsi"/>
          <w:color w:val="000000"/>
          <w:lang w:eastAsia="es-PY"/>
        </w:rPr>
        <w:t>.</w:t>
      </w:r>
    </w:p>
    <w:p w14:paraId="5B0E6F0C" w14:textId="77777777" w:rsidR="008806D0" w:rsidRPr="008806D0" w:rsidRDefault="008806D0" w:rsidP="008806D0">
      <w:pPr>
        <w:spacing w:after="0"/>
        <w:rPr>
          <w:rFonts w:asciiTheme="majorHAnsi" w:hAnsiTheme="majorHAnsi" w:cstheme="majorHAnsi"/>
          <w:color w:val="000000"/>
          <w:sz w:val="8"/>
          <w:szCs w:val="8"/>
          <w:lang w:eastAsia="es-PY"/>
        </w:rPr>
      </w:pPr>
    </w:p>
    <w:p w14:paraId="53C711A0" w14:textId="77777777" w:rsidR="008806D0" w:rsidRPr="00D738E0" w:rsidRDefault="008806D0" w:rsidP="008806D0">
      <w:pPr>
        <w:spacing w:after="0"/>
        <w:rPr>
          <w:rFonts w:asciiTheme="majorHAnsi" w:hAnsiTheme="majorHAnsi" w:cstheme="majorHAnsi"/>
          <w:b/>
          <w:color w:val="000000"/>
          <w:u w:val="single"/>
          <w:lang w:eastAsia="es-PY"/>
        </w:rPr>
      </w:pPr>
      <w:r w:rsidRPr="00D738E0">
        <w:rPr>
          <w:rFonts w:asciiTheme="majorHAnsi" w:hAnsiTheme="majorHAnsi" w:cstheme="majorHAnsi"/>
          <w:b/>
          <w:color w:val="000000"/>
          <w:u w:val="single"/>
          <w:lang w:eastAsia="es-PY"/>
        </w:rPr>
        <w:t>Documentos que se deben anexar indefectiblemente</w:t>
      </w:r>
      <w:r>
        <w:rPr>
          <w:rFonts w:asciiTheme="majorHAnsi" w:hAnsiTheme="majorHAnsi" w:cstheme="majorHAnsi"/>
          <w:b/>
          <w:color w:val="000000"/>
          <w:u w:val="single"/>
          <w:lang w:eastAsia="es-PY"/>
        </w:rPr>
        <w:t xml:space="preserve"> para ser admitida la protesta</w:t>
      </w:r>
      <w:r w:rsidRPr="00D738E0">
        <w:rPr>
          <w:rFonts w:asciiTheme="majorHAnsi" w:hAnsiTheme="majorHAnsi" w:cstheme="majorHAnsi"/>
          <w:b/>
          <w:color w:val="000000"/>
          <w:u w:val="single"/>
          <w:lang w:eastAsia="es-PY"/>
        </w:rPr>
        <w:t>:</w:t>
      </w:r>
    </w:p>
    <w:p w14:paraId="16FC010B" w14:textId="77777777" w:rsidR="008806D0" w:rsidRPr="00A4167C" w:rsidRDefault="008806D0" w:rsidP="008806D0">
      <w:pPr>
        <w:pStyle w:val="Ttulo2Car"/>
        <w:numPr>
          <w:ilvl w:val="0"/>
          <w:numId w:val="36"/>
        </w:numPr>
        <w:spacing w:line="240" w:lineRule="auto"/>
        <w:ind w:left="426" w:hanging="284"/>
        <w:rPr>
          <w:rFonts w:asciiTheme="majorHAnsi" w:hAnsiTheme="majorHAnsi" w:cstheme="majorHAnsi"/>
          <w:color w:val="000000"/>
          <w:lang w:eastAsia="es-PY"/>
        </w:rPr>
      </w:pPr>
      <w:r w:rsidRPr="00A4167C">
        <w:rPr>
          <w:rFonts w:asciiTheme="majorHAnsi" w:hAnsiTheme="majorHAnsi" w:cstheme="majorHAnsi"/>
          <w:color w:val="000000"/>
          <w:lang w:eastAsia="es-PY"/>
        </w:rPr>
        <w:t>Documento de identidad autenticado por escribanía del representante de la empresa</w:t>
      </w:r>
    </w:p>
    <w:p w14:paraId="5CC0B546" w14:textId="77777777" w:rsidR="008806D0" w:rsidRPr="00A4167C" w:rsidRDefault="008806D0" w:rsidP="008806D0">
      <w:pPr>
        <w:pStyle w:val="Ttulo2Car"/>
        <w:numPr>
          <w:ilvl w:val="0"/>
          <w:numId w:val="36"/>
        </w:numPr>
        <w:spacing w:line="240" w:lineRule="auto"/>
        <w:ind w:left="426" w:hanging="284"/>
        <w:rPr>
          <w:rFonts w:asciiTheme="majorHAnsi" w:hAnsiTheme="majorHAnsi" w:cstheme="majorHAnsi"/>
          <w:color w:val="000000"/>
          <w:lang w:eastAsia="es-PY"/>
        </w:rPr>
      </w:pPr>
      <w:r w:rsidRPr="00A4167C">
        <w:rPr>
          <w:rFonts w:asciiTheme="majorHAnsi" w:hAnsiTheme="majorHAnsi" w:cstheme="majorHAnsi"/>
          <w:color w:val="000000"/>
          <w:lang w:eastAsia="es-PY"/>
        </w:rPr>
        <w:t>Poder de representación autenticado por escribanía, según el caso</w:t>
      </w:r>
    </w:p>
    <w:p w14:paraId="67F713B2" w14:textId="77777777" w:rsidR="008806D0" w:rsidRDefault="008806D0" w:rsidP="008806D0">
      <w:pPr>
        <w:pStyle w:val="Ttulo2Car"/>
        <w:numPr>
          <w:ilvl w:val="0"/>
          <w:numId w:val="36"/>
        </w:numPr>
        <w:spacing w:line="240" w:lineRule="auto"/>
        <w:ind w:left="426" w:hanging="284"/>
        <w:rPr>
          <w:rFonts w:asciiTheme="majorHAnsi" w:hAnsiTheme="majorHAnsi" w:cstheme="majorHAnsi"/>
          <w:color w:val="000000"/>
          <w:lang w:eastAsia="es-PY"/>
        </w:rPr>
      </w:pPr>
      <w:r w:rsidRPr="00A4167C">
        <w:rPr>
          <w:rFonts w:asciiTheme="majorHAnsi" w:hAnsiTheme="majorHAnsi" w:cstheme="majorHAnsi"/>
          <w:color w:val="000000"/>
          <w:lang w:eastAsia="es-PY"/>
        </w:rPr>
        <w:t>Constancia del RUC</w:t>
      </w:r>
    </w:p>
    <w:p w14:paraId="0CBB88A1" w14:textId="77777777" w:rsidR="008806D0" w:rsidRPr="008806D0" w:rsidRDefault="008806D0" w:rsidP="008806D0">
      <w:pPr>
        <w:spacing w:after="0"/>
        <w:rPr>
          <w:rFonts w:asciiTheme="majorHAnsi" w:hAnsiTheme="majorHAnsi" w:cstheme="majorHAnsi"/>
          <w:color w:val="000000"/>
          <w:sz w:val="8"/>
          <w:szCs w:val="8"/>
          <w:lang w:eastAsia="es-PY"/>
        </w:rPr>
      </w:pPr>
    </w:p>
    <w:p w14:paraId="117550B9" w14:textId="4EB7B1F7" w:rsidR="008806D0" w:rsidRPr="008806D0" w:rsidRDefault="008806D0" w:rsidP="008806D0">
      <w:pPr>
        <w:jc w:val="both"/>
        <w:rPr>
          <w:rFonts w:asciiTheme="majorHAnsi" w:hAnsiTheme="majorHAnsi" w:cstheme="majorHAnsi"/>
          <w:color w:val="000000"/>
          <w:lang w:eastAsia="es-PY"/>
        </w:rPr>
      </w:pPr>
      <w:r w:rsidRPr="008806D0">
        <w:rPr>
          <w:rFonts w:asciiTheme="majorHAnsi" w:hAnsiTheme="majorHAnsi" w:cstheme="majorHAnsi"/>
          <w:color w:val="000000"/>
          <w:lang w:eastAsia="es-PY"/>
        </w:rPr>
        <w:t xml:space="preserve">En caso de ser recibida la protesta, se deberá remitir </w:t>
      </w:r>
      <w:r w:rsidR="0027167B">
        <w:rPr>
          <w:rFonts w:asciiTheme="majorHAnsi" w:hAnsiTheme="majorHAnsi" w:cstheme="majorHAnsi"/>
          <w:color w:val="000000"/>
          <w:lang w:eastAsia="es-PY"/>
        </w:rPr>
        <w:t xml:space="preserve">a </w:t>
      </w:r>
      <w:r w:rsidRPr="008806D0">
        <w:rPr>
          <w:rFonts w:asciiTheme="majorHAnsi" w:hAnsiTheme="majorHAnsi" w:cstheme="majorHAnsi"/>
          <w:color w:val="000000"/>
          <w:lang w:eastAsia="es-PY"/>
        </w:rPr>
        <w:t>la misma</w:t>
      </w:r>
      <w:r>
        <w:rPr>
          <w:rFonts w:asciiTheme="majorHAnsi" w:hAnsiTheme="majorHAnsi" w:cstheme="majorHAnsi"/>
          <w:color w:val="000000"/>
          <w:lang w:eastAsia="es-PY"/>
        </w:rPr>
        <w:t xml:space="preserve"> a la Dirección</w:t>
      </w:r>
      <w:r w:rsidR="0027167B">
        <w:rPr>
          <w:rFonts w:asciiTheme="majorHAnsi" w:hAnsiTheme="majorHAnsi" w:cstheme="majorHAnsi"/>
          <w:color w:val="000000"/>
          <w:lang w:eastAsia="es-PY"/>
        </w:rPr>
        <w:t xml:space="preserve"> General de Asesoria Jurídica</w:t>
      </w:r>
      <w:r w:rsidRPr="008806D0">
        <w:rPr>
          <w:rFonts w:asciiTheme="majorHAnsi" w:hAnsiTheme="majorHAnsi" w:cstheme="majorHAnsi"/>
          <w:color w:val="000000"/>
          <w:lang w:eastAsia="es-PY"/>
        </w:rPr>
        <w:t>, el cual deberá</w:t>
      </w:r>
      <w:r>
        <w:rPr>
          <w:rFonts w:asciiTheme="majorHAnsi" w:hAnsiTheme="majorHAnsi" w:cstheme="majorHAnsi"/>
          <w:color w:val="000000"/>
          <w:lang w:eastAsia="es-PY"/>
        </w:rPr>
        <w:t xml:space="preserve"> verificar los documentos anexados</w:t>
      </w:r>
      <w:r w:rsidRPr="008806D0">
        <w:rPr>
          <w:rFonts w:asciiTheme="majorHAnsi" w:hAnsiTheme="majorHAnsi" w:cstheme="majorHAnsi"/>
          <w:color w:val="000000"/>
          <w:lang w:eastAsia="es-PY"/>
        </w:rPr>
        <w:t xml:space="preserve"> </w:t>
      </w:r>
      <w:r>
        <w:rPr>
          <w:rFonts w:asciiTheme="majorHAnsi" w:hAnsiTheme="majorHAnsi" w:cstheme="majorHAnsi"/>
          <w:color w:val="000000"/>
          <w:lang w:eastAsia="es-PY"/>
        </w:rPr>
        <w:t xml:space="preserve">y </w:t>
      </w:r>
      <w:r w:rsidRPr="008806D0">
        <w:rPr>
          <w:rFonts w:asciiTheme="majorHAnsi" w:hAnsiTheme="majorHAnsi" w:cstheme="majorHAnsi"/>
          <w:color w:val="000000"/>
          <w:lang w:eastAsia="es-PY"/>
        </w:rPr>
        <w:t>analizar el contenido</w:t>
      </w:r>
      <w:r>
        <w:rPr>
          <w:rFonts w:asciiTheme="majorHAnsi" w:hAnsiTheme="majorHAnsi" w:cstheme="majorHAnsi"/>
          <w:color w:val="000000"/>
          <w:lang w:eastAsia="es-PY"/>
        </w:rPr>
        <w:t xml:space="preserve"> según corresponda</w:t>
      </w:r>
      <w:r w:rsidRPr="008806D0">
        <w:rPr>
          <w:rFonts w:asciiTheme="majorHAnsi" w:hAnsiTheme="majorHAnsi" w:cstheme="majorHAnsi"/>
          <w:color w:val="000000"/>
          <w:lang w:eastAsia="es-PY"/>
        </w:rPr>
        <w:t xml:space="preserve"> y deberá expedirse en un plazo de </w:t>
      </w:r>
      <w:r w:rsidRPr="008806D0">
        <w:rPr>
          <w:rFonts w:asciiTheme="majorHAnsi" w:hAnsiTheme="majorHAnsi" w:cstheme="majorHAnsi"/>
          <w:b/>
          <w:color w:val="000000"/>
          <w:u w:val="single"/>
          <w:lang w:eastAsia="es-PY"/>
        </w:rPr>
        <w:t>3</w:t>
      </w:r>
      <w:r w:rsidRPr="008806D0">
        <w:rPr>
          <w:rFonts w:asciiTheme="majorHAnsi" w:hAnsiTheme="majorHAnsi" w:cstheme="majorHAnsi"/>
          <w:b/>
          <w:i/>
          <w:color w:val="000000"/>
          <w:u w:val="single"/>
          <w:lang w:eastAsia="es-PY"/>
        </w:rPr>
        <w:t xml:space="preserve"> (</w:t>
      </w:r>
      <w:r>
        <w:rPr>
          <w:rFonts w:asciiTheme="majorHAnsi" w:hAnsiTheme="majorHAnsi" w:cstheme="majorHAnsi"/>
          <w:b/>
          <w:i/>
          <w:color w:val="000000"/>
          <w:u w:val="single"/>
          <w:lang w:eastAsia="es-PY"/>
        </w:rPr>
        <w:t>tres</w:t>
      </w:r>
      <w:r w:rsidRPr="008806D0">
        <w:rPr>
          <w:rFonts w:asciiTheme="majorHAnsi" w:hAnsiTheme="majorHAnsi" w:cstheme="majorHAnsi"/>
          <w:b/>
          <w:i/>
          <w:color w:val="000000"/>
          <w:u w:val="single"/>
          <w:lang w:eastAsia="es-PY"/>
        </w:rPr>
        <w:t>) días hábiles</w:t>
      </w:r>
      <w:r w:rsidRPr="008806D0">
        <w:rPr>
          <w:rFonts w:asciiTheme="majorHAnsi" w:hAnsiTheme="majorHAnsi" w:cstheme="majorHAnsi"/>
          <w:color w:val="000000"/>
          <w:lang w:eastAsia="es-PY"/>
        </w:rPr>
        <w:t xml:space="preserve"> como m</w:t>
      </w:r>
      <w:r w:rsidR="0027167B">
        <w:rPr>
          <w:rFonts w:asciiTheme="majorHAnsi" w:hAnsiTheme="majorHAnsi" w:cstheme="majorHAnsi"/>
          <w:color w:val="000000"/>
          <w:lang w:eastAsia="es-PY"/>
        </w:rPr>
        <w:t>áximo</w:t>
      </w:r>
      <w:r w:rsidRPr="008806D0">
        <w:rPr>
          <w:rFonts w:asciiTheme="majorHAnsi" w:hAnsiTheme="majorHAnsi" w:cstheme="majorHAnsi"/>
          <w:color w:val="000000"/>
          <w:lang w:eastAsia="es-PY"/>
        </w:rPr>
        <w:t>.</w:t>
      </w:r>
    </w:p>
    <w:p w14:paraId="5CA68094" w14:textId="52CE596A" w:rsidR="003A3E4B" w:rsidRPr="00370012" w:rsidRDefault="002E0CCE" w:rsidP="00636C3A">
      <w:pPr>
        <w:spacing w:after="0"/>
        <w:jc w:val="both"/>
        <w:rPr>
          <w:rFonts w:asciiTheme="majorHAnsi" w:hAnsiTheme="majorHAnsi" w:cstheme="majorHAnsi"/>
          <w:bCs/>
          <w:i/>
          <w:color w:val="000000"/>
          <w:lang w:eastAsia="es-PY"/>
        </w:rPr>
      </w:pPr>
      <w:r w:rsidRPr="00EA1D6B">
        <w:rPr>
          <w:rFonts w:asciiTheme="majorHAnsi" w:eastAsia="Times New Roman" w:hAnsiTheme="majorHAnsi" w:cstheme="majorHAnsi"/>
          <w:b/>
          <w:i/>
          <w:color w:val="000000"/>
          <w:u w:val="single"/>
          <w:lang w:eastAsia="es-PY"/>
        </w:rPr>
        <w:t xml:space="preserve">En caso de </w:t>
      </w:r>
      <w:r w:rsidR="00B01C33" w:rsidRPr="00EA1D6B">
        <w:rPr>
          <w:rFonts w:asciiTheme="majorHAnsi" w:eastAsia="Times New Roman" w:hAnsiTheme="majorHAnsi" w:cstheme="majorHAnsi"/>
          <w:b/>
          <w:i/>
          <w:color w:val="000000"/>
          <w:u w:val="single"/>
          <w:lang w:eastAsia="es-PY"/>
        </w:rPr>
        <w:t>dar lugar</w:t>
      </w:r>
      <w:r w:rsidRPr="00EA1D6B">
        <w:rPr>
          <w:rFonts w:asciiTheme="majorHAnsi" w:eastAsia="Times New Roman" w:hAnsiTheme="majorHAnsi" w:cstheme="majorHAnsi"/>
          <w:b/>
          <w:i/>
          <w:color w:val="000000"/>
          <w:u w:val="single"/>
          <w:lang w:eastAsia="es-PY"/>
        </w:rPr>
        <w:t xml:space="preserve"> </w:t>
      </w:r>
      <w:r w:rsidR="002A2975" w:rsidRPr="00EA1D6B">
        <w:rPr>
          <w:rFonts w:asciiTheme="majorHAnsi" w:eastAsia="Times New Roman" w:hAnsiTheme="majorHAnsi" w:cstheme="majorHAnsi"/>
          <w:b/>
          <w:i/>
          <w:color w:val="000000"/>
          <w:u w:val="single"/>
          <w:lang w:eastAsia="es-PY"/>
        </w:rPr>
        <w:t xml:space="preserve">a </w:t>
      </w:r>
      <w:r w:rsidRPr="00EA1D6B">
        <w:rPr>
          <w:rFonts w:asciiTheme="majorHAnsi" w:eastAsia="Times New Roman" w:hAnsiTheme="majorHAnsi" w:cstheme="majorHAnsi"/>
          <w:b/>
          <w:i/>
          <w:color w:val="000000"/>
          <w:u w:val="single"/>
          <w:lang w:eastAsia="es-PY"/>
        </w:rPr>
        <w:t>la protesta</w:t>
      </w:r>
      <w:r>
        <w:rPr>
          <w:rFonts w:asciiTheme="majorHAnsi" w:eastAsia="Times New Roman" w:hAnsiTheme="majorHAnsi" w:cstheme="majorHAnsi"/>
          <w:color w:val="000000"/>
          <w:lang w:eastAsia="es-PY"/>
        </w:rPr>
        <w:t xml:space="preserve">, </w:t>
      </w:r>
      <w:r w:rsidR="007A6F76">
        <w:rPr>
          <w:rFonts w:asciiTheme="majorHAnsi" w:eastAsia="Times New Roman" w:hAnsiTheme="majorHAnsi" w:cstheme="majorHAnsi"/>
          <w:color w:val="000000"/>
          <w:lang w:eastAsia="es-PY"/>
        </w:rPr>
        <w:t>se remitirá antecedentes a</w:t>
      </w:r>
      <w:r>
        <w:rPr>
          <w:rFonts w:asciiTheme="majorHAnsi" w:eastAsia="Times New Roman" w:hAnsiTheme="majorHAnsi" w:cstheme="majorHAnsi"/>
          <w:color w:val="000000"/>
          <w:lang w:eastAsia="es-PY"/>
        </w:rPr>
        <w:t xml:space="preserve">l Comité de Evaluación, </w:t>
      </w:r>
      <w:r w:rsidR="007A6F76">
        <w:rPr>
          <w:rFonts w:asciiTheme="majorHAnsi" w:eastAsia="Times New Roman" w:hAnsiTheme="majorHAnsi" w:cstheme="majorHAnsi"/>
          <w:color w:val="000000"/>
          <w:lang w:eastAsia="es-PY"/>
        </w:rPr>
        <w:t xml:space="preserve">a fin de realizar una </w:t>
      </w:r>
      <w:r w:rsidR="0027167B">
        <w:rPr>
          <w:rFonts w:asciiTheme="majorHAnsi" w:eastAsia="Times New Roman" w:hAnsiTheme="majorHAnsi" w:cstheme="majorHAnsi"/>
          <w:color w:val="000000"/>
          <w:lang w:eastAsia="es-PY"/>
        </w:rPr>
        <w:t>re</w:t>
      </w:r>
      <w:r w:rsidR="007A6F76">
        <w:rPr>
          <w:rFonts w:asciiTheme="majorHAnsi" w:eastAsia="Times New Roman" w:hAnsiTheme="majorHAnsi" w:cstheme="majorHAnsi"/>
          <w:color w:val="000000"/>
          <w:lang w:eastAsia="es-PY"/>
        </w:rPr>
        <w:t>evaluación,</w:t>
      </w:r>
      <w:r w:rsidR="00B01C33">
        <w:rPr>
          <w:rFonts w:asciiTheme="majorHAnsi" w:eastAsia="Times New Roman" w:hAnsiTheme="majorHAnsi" w:cstheme="majorHAnsi"/>
          <w:color w:val="000000"/>
          <w:lang w:eastAsia="es-PY"/>
        </w:rPr>
        <w:t xml:space="preserve"> elevando a la máxima autoridad la nueva propuesta de adjudicación</w:t>
      </w:r>
      <w:r w:rsidR="00AA3742">
        <w:rPr>
          <w:rFonts w:asciiTheme="majorHAnsi" w:eastAsia="Times New Roman" w:hAnsiTheme="majorHAnsi" w:cstheme="majorHAnsi"/>
          <w:color w:val="000000"/>
          <w:lang w:eastAsia="es-PY"/>
        </w:rPr>
        <w:t xml:space="preserve">; </w:t>
      </w:r>
      <w:r w:rsidR="00AA3742" w:rsidRPr="00EA1D6B">
        <w:rPr>
          <w:rFonts w:asciiTheme="majorHAnsi" w:eastAsia="Times New Roman" w:hAnsiTheme="majorHAnsi" w:cstheme="majorHAnsi"/>
          <w:b/>
          <w:i/>
          <w:color w:val="000000"/>
          <w:u w:val="single"/>
          <w:lang w:eastAsia="es-PY"/>
        </w:rPr>
        <w:t>caso contrario</w:t>
      </w:r>
      <w:r w:rsidR="004400C1">
        <w:rPr>
          <w:rFonts w:asciiTheme="majorHAnsi" w:eastAsia="Times New Roman" w:hAnsiTheme="majorHAnsi" w:cstheme="majorHAnsi"/>
          <w:color w:val="000000"/>
          <w:lang w:eastAsia="es-PY"/>
        </w:rPr>
        <w:t xml:space="preserve">, </w:t>
      </w:r>
      <w:r>
        <w:rPr>
          <w:rFonts w:asciiTheme="majorHAnsi" w:eastAsia="Times New Roman" w:hAnsiTheme="majorHAnsi" w:cstheme="majorHAnsi"/>
          <w:color w:val="000000"/>
          <w:lang w:eastAsia="es-PY"/>
        </w:rPr>
        <w:t xml:space="preserve">emitirá dictamen </w:t>
      </w:r>
      <w:r w:rsidR="00AA3742">
        <w:rPr>
          <w:rFonts w:asciiTheme="majorHAnsi" w:eastAsia="Times New Roman" w:hAnsiTheme="majorHAnsi" w:cstheme="majorHAnsi"/>
          <w:color w:val="000000"/>
          <w:lang w:eastAsia="es-PY"/>
        </w:rPr>
        <w:t>ratificando</w:t>
      </w:r>
      <w:r>
        <w:rPr>
          <w:rFonts w:asciiTheme="majorHAnsi" w:eastAsia="Times New Roman" w:hAnsiTheme="majorHAnsi" w:cstheme="majorHAnsi"/>
          <w:color w:val="000000"/>
          <w:lang w:eastAsia="es-PY"/>
        </w:rPr>
        <w:t xml:space="preserve"> </w:t>
      </w:r>
      <w:r w:rsidR="00B01C33">
        <w:rPr>
          <w:rFonts w:asciiTheme="majorHAnsi" w:eastAsia="Times New Roman" w:hAnsiTheme="majorHAnsi" w:cstheme="majorHAnsi"/>
          <w:color w:val="000000"/>
          <w:lang w:eastAsia="es-PY"/>
        </w:rPr>
        <w:t>los procedimientos anteriormente realizados</w:t>
      </w:r>
      <w:r>
        <w:rPr>
          <w:rFonts w:asciiTheme="majorHAnsi" w:eastAsia="Times New Roman" w:hAnsiTheme="majorHAnsi" w:cstheme="majorHAnsi"/>
          <w:color w:val="000000"/>
          <w:lang w:eastAsia="es-PY"/>
        </w:rPr>
        <w:t>,</w:t>
      </w:r>
      <w:r w:rsidR="00B01C33">
        <w:rPr>
          <w:rFonts w:asciiTheme="majorHAnsi" w:eastAsia="Times New Roman" w:hAnsiTheme="majorHAnsi" w:cstheme="majorHAnsi"/>
          <w:color w:val="000000"/>
          <w:lang w:eastAsia="es-PY"/>
        </w:rPr>
        <w:t xml:space="preserve"> </w:t>
      </w:r>
      <w:r w:rsidR="002A2975">
        <w:rPr>
          <w:rFonts w:asciiTheme="majorHAnsi" w:eastAsia="Times New Roman" w:hAnsiTheme="majorHAnsi" w:cstheme="majorHAnsi"/>
          <w:color w:val="000000"/>
          <w:lang w:eastAsia="es-PY"/>
        </w:rPr>
        <w:t>ambas</w:t>
      </w:r>
      <w:r w:rsidR="00B01C33">
        <w:rPr>
          <w:rFonts w:asciiTheme="majorHAnsi" w:eastAsia="Times New Roman" w:hAnsiTheme="majorHAnsi" w:cstheme="majorHAnsi"/>
          <w:color w:val="000000"/>
          <w:lang w:eastAsia="es-PY"/>
        </w:rPr>
        <w:t xml:space="preserve"> s</w:t>
      </w:r>
      <w:r w:rsidR="002A2975">
        <w:rPr>
          <w:rFonts w:asciiTheme="majorHAnsi" w:eastAsia="Times New Roman" w:hAnsiTheme="majorHAnsi" w:cstheme="majorHAnsi"/>
          <w:color w:val="000000"/>
          <w:lang w:eastAsia="es-PY"/>
        </w:rPr>
        <w:t>ituaciones</w:t>
      </w:r>
      <w:r w:rsidR="00B01C33">
        <w:rPr>
          <w:rFonts w:asciiTheme="majorHAnsi" w:eastAsia="Times New Roman" w:hAnsiTheme="majorHAnsi" w:cstheme="majorHAnsi"/>
          <w:color w:val="000000"/>
          <w:lang w:eastAsia="es-PY"/>
        </w:rPr>
        <w:t xml:space="preserve"> </w:t>
      </w:r>
      <w:r w:rsidR="002A2975">
        <w:rPr>
          <w:rFonts w:asciiTheme="majorHAnsi" w:eastAsia="Times New Roman" w:hAnsiTheme="majorHAnsi" w:cstheme="majorHAnsi"/>
          <w:color w:val="000000"/>
          <w:lang w:eastAsia="es-PY"/>
        </w:rPr>
        <w:t>serán</w:t>
      </w:r>
      <w:r w:rsidR="00B01C33">
        <w:rPr>
          <w:rFonts w:asciiTheme="majorHAnsi" w:eastAsia="Times New Roman" w:hAnsiTheme="majorHAnsi" w:cstheme="majorHAnsi"/>
          <w:color w:val="000000"/>
          <w:lang w:eastAsia="es-PY"/>
        </w:rPr>
        <w:t xml:space="preserve"> notifica</w:t>
      </w:r>
      <w:r w:rsidR="002A2975">
        <w:rPr>
          <w:rFonts w:asciiTheme="majorHAnsi" w:eastAsia="Times New Roman" w:hAnsiTheme="majorHAnsi" w:cstheme="majorHAnsi"/>
          <w:color w:val="000000"/>
          <w:lang w:eastAsia="es-PY"/>
        </w:rPr>
        <w:t>das</w:t>
      </w:r>
      <w:r w:rsidR="007A6F76">
        <w:rPr>
          <w:rFonts w:asciiTheme="majorHAnsi" w:eastAsia="Times New Roman" w:hAnsiTheme="majorHAnsi" w:cstheme="majorHAnsi"/>
          <w:color w:val="000000"/>
          <w:lang w:eastAsia="es-PY"/>
        </w:rPr>
        <w:t xml:space="preserve"> a los participantes</w:t>
      </w:r>
      <w:r w:rsidR="002A2975">
        <w:rPr>
          <w:rFonts w:asciiTheme="majorHAnsi" w:eastAsia="Times New Roman" w:hAnsiTheme="majorHAnsi" w:cstheme="majorHAnsi"/>
          <w:color w:val="000000"/>
          <w:lang w:eastAsia="es-PY"/>
        </w:rPr>
        <w:t xml:space="preserve"> según el procedimiento establecido.</w:t>
      </w:r>
      <w:r w:rsidR="003A3E4B" w:rsidRPr="00370012">
        <w:rPr>
          <w:rFonts w:asciiTheme="majorHAnsi" w:hAnsiTheme="majorHAnsi" w:cstheme="majorHAnsi"/>
          <w:bCs/>
          <w:i/>
          <w:color w:val="000000"/>
          <w:lang w:eastAsia="es-PY"/>
        </w:rPr>
        <w:br w:type="page"/>
      </w:r>
    </w:p>
    <w:p w14:paraId="7A9F9085" w14:textId="51A34655" w:rsidR="00E84658" w:rsidRPr="00370012" w:rsidRDefault="00E84658" w:rsidP="002A42DF">
      <w:pPr>
        <w:pStyle w:val="Hipervncu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A3C3C"/>
        <w:rPr>
          <w:rFonts w:asciiTheme="majorHAnsi" w:hAnsiTheme="majorHAnsi" w:cstheme="majorHAnsi"/>
        </w:rPr>
      </w:pPr>
      <w:r w:rsidRPr="00370012">
        <w:rPr>
          <w:rFonts w:asciiTheme="majorHAnsi" w:hAnsiTheme="majorHAnsi" w:cstheme="majorHAnsi"/>
        </w:rPr>
        <w:lastRenderedPageBreak/>
        <w:t xml:space="preserve">SUMINISTROS REQUERIDOS </w:t>
      </w:r>
      <w:r w:rsidR="00815445">
        <w:rPr>
          <w:rFonts w:asciiTheme="majorHAnsi" w:hAnsiTheme="majorHAnsi" w:cstheme="majorHAnsi"/>
        </w:rPr>
        <w:t>–</w:t>
      </w:r>
      <w:r w:rsidRPr="00370012">
        <w:rPr>
          <w:rFonts w:asciiTheme="majorHAnsi" w:hAnsiTheme="majorHAnsi" w:cstheme="majorHAnsi"/>
        </w:rPr>
        <w:t xml:space="preserve"> ESPECIFICACIONES TÉCNICAS</w:t>
      </w:r>
    </w:p>
    <w:p w14:paraId="56782797" w14:textId="77777777" w:rsidR="00E84658" w:rsidRPr="00370012" w:rsidRDefault="00E84658" w:rsidP="00636C3A">
      <w:pPr>
        <w:pStyle w:val="Hipervnculo"/>
        <w:jc w:val="both"/>
        <w:rPr>
          <w:rFonts w:asciiTheme="majorHAnsi" w:hAnsiTheme="majorHAnsi" w:cstheme="majorHAnsi"/>
        </w:rPr>
      </w:pPr>
    </w:p>
    <w:p w14:paraId="5A93ADA3" w14:textId="1D8F38E8" w:rsidR="00E84658" w:rsidRPr="00370012" w:rsidRDefault="00E84658" w:rsidP="00636C3A">
      <w:pPr>
        <w:tabs>
          <w:tab w:val="right" w:leader="dot" w:pos="9000"/>
        </w:tabs>
        <w:spacing w:after="0"/>
        <w:jc w:val="both"/>
        <w:rPr>
          <w:rFonts w:asciiTheme="majorHAnsi" w:hAnsiTheme="majorHAnsi" w:cstheme="majorHAnsi"/>
          <w:bCs/>
          <w:lang w:val="es-ES"/>
        </w:rPr>
      </w:pPr>
      <w:r w:rsidRPr="00370012">
        <w:rPr>
          <w:rFonts w:asciiTheme="majorHAnsi" w:hAnsiTheme="majorHAnsi" w:cstheme="majorHAnsi"/>
          <w:shd w:val="clear" w:color="auto" w:fill="FFFFFF"/>
        </w:rPr>
        <w:t xml:space="preserve">Esta sección constituye el detalle de los </w:t>
      </w:r>
      <w:r w:rsidRPr="00B14E14">
        <w:rPr>
          <w:rFonts w:asciiTheme="majorHAnsi" w:hAnsiTheme="majorHAnsi" w:cstheme="majorHAnsi"/>
          <w:b/>
          <w:i/>
          <w:u w:val="single"/>
          <w:shd w:val="clear" w:color="auto" w:fill="FFFFFF"/>
        </w:rPr>
        <w:t xml:space="preserve">bienes y/o </w:t>
      </w:r>
      <w:r w:rsidR="00E9031D" w:rsidRPr="00B14E14">
        <w:rPr>
          <w:rFonts w:asciiTheme="majorHAnsi" w:hAnsiTheme="majorHAnsi" w:cstheme="majorHAnsi"/>
          <w:b/>
          <w:i/>
          <w:u w:val="single"/>
          <w:shd w:val="clear" w:color="auto" w:fill="FFFFFF"/>
        </w:rPr>
        <w:t>insumos</w:t>
      </w:r>
      <w:r w:rsidRPr="00B14E14">
        <w:rPr>
          <w:rFonts w:asciiTheme="majorHAnsi" w:hAnsiTheme="majorHAnsi" w:cstheme="majorHAnsi"/>
          <w:shd w:val="clear" w:color="auto" w:fill="FFFFFF"/>
        </w:rPr>
        <w:t xml:space="preserve"> </w:t>
      </w:r>
      <w:r w:rsidRPr="00370012">
        <w:rPr>
          <w:rFonts w:asciiTheme="majorHAnsi" w:hAnsiTheme="majorHAnsi" w:cstheme="majorHAnsi"/>
          <w:shd w:val="clear" w:color="auto" w:fill="FFFFFF"/>
        </w:rPr>
        <w:t xml:space="preserve">con sus respectivas especificaciones técnicas </w:t>
      </w:r>
      <w:r w:rsidR="00815445">
        <w:rPr>
          <w:rFonts w:asciiTheme="majorHAnsi" w:hAnsiTheme="majorHAnsi" w:cstheme="majorHAnsi"/>
          <w:shd w:val="clear" w:color="auto" w:fill="FFFFFF"/>
        </w:rPr>
        <w:t>–</w:t>
      </w:r>
      <w:r w:rsidRPr="00370012">
        <w:rPr>
          <w:rFonts w:asciiTheme="majorHAnsi" w:hAnsiTheme="majorHAnsi" w:cstheme="majorHAnsi"/>
          <w:shd w:val="clear" w:color="auto" w:fill="FFFFFF"/>
        </w:rPr>
        <w:t xml:space="preserve"> EETT, de manera clara y precisa para que el oferente elabore su oferta. </w:t>
      </w:r>
    </w:p>
    <w:p w14:paraId="6E7921A0" w14:textId="77777777" w:rsidR="00E84658" w:rsidRPr="00370012" w:rsidRDefault="00E84658" w:rsidP="00636C3A">
      <w:pPr>
        <w:pStyle w:val="PrrafodelistaCar"/>
        <w:spacing w:after="150"/>
        <w:jc w:val="both"/>
        <w:rPr>
          <w:rFonts w:asciiTheme="majorHAnsi" w:hAnsiTheme="majorHAnsi" w:cstheme="majorHAnsi"/>
          <w:lang w:eastAsia="es-PY"/>
        </w:rPr>
      </w:pPr>
      <w:r w:rsidRPr="00370012">
        <w:rPr>
          <w:rFonts w:asciiTheme="majorHAnsi" w:hAnsiTheme="majorHAnsi" w:cstheme="majorHAnsi"/>
        </w:rPr>
        <w:t>El Suministro deberá incluir todos aquellos ítems que no hubiesen sido expresamente indicados en la presente sección, pero que pueda inferirse razonablemente que son necesarios para satisfacer el requisito de suministro indicado</w:t>
      </w:r>
      <w:r w:rsidR="00E9031D" w:rsidRPr="00370012">
        <w:rPr>
          <w:rFonts w:asciiTheme="majorHAnsi" w:hAnsiTheme="majorHAnsi" w:cstheme="majorHAnsi"/>
        </w:rPr>
        <w:t xml:space="preserve">, por lo tanto, dichos </w:t>
      </w:r>
      <w:r w:rsidR="00E9031D" w:rsidRPr="00B14E14">
        <w:rPr>
          <w:rFonts w:asciiTheme="majorHAnsi" w:hAnsiTheme="majorHAnsi" w:cstheme="majorHAnsi"/>
          <w:b/>
          <w:i/>
          <w:u w:val="single"/>
        </w:rPr>
        <w:t xml:space="preserve">bienes </w:t>
      </w:r>
      <w:r w:rsidR="00C66230" w:rsidRPr="00B14E14">
        <w:rPr>
          <w:rFonts w:asciiTheme="majorHAnsi" w:hAnsiTheme="majorHAnsi" w:cstheme="majorHAnsi"/>
          <w:b/>
          <w:i/>
          <w:u w:val="single"/>
        </w:rPr>
        <w:t>y/o</w:t>
      </w:r>
      <w:r w:rsidR="00E9031D" w:rsidRPr="00B14E14">
        <w:rPr>
          <w:rFonts w:asciiTheme="majorHAnsi" w:hAnsiTheme="majorHAnsi" w:cstheme="majorHAnsi"/>
          <w:b/>
          <w:i/>
          <w:u w:val="single"/>
        </w:rPr>
        <w:t xml:space="preserve"> insumos</w:t>
      </w:r>
      <w:r w:rsidR="00E9031D" w:rsidRPr="00B14E14">
        <w:rPr>
          <w:rFonts w:asciiTheme="majorHAnsi" w:hAnsiTheme="majorHAnsi" w:cstheme="majorHAnsi"/>
        </w:rPr>
        <w:t xml:space="preserve"> </w:t>
      </w:r>
      <w:r w:rsidRPr="00370012">
        <w:rPr>
          <w:rFonts w:asciiTheme="majorHAnsi" w:hAnsiTheme="majorHAnsi" w:cstheme="majorHAnsi"/>
        </w:rPr>
        <w:t>serán suministrados por el Proveedor como si hubiesen sido expresamente mencionados, salvo disposición contraria en el Contrato.</w:t>
      </w:r>
    </w:p>
    <w:p w14:paraId="380BE80B" w14:textId="77777777" w:rsidR="00E84658" w:rsidRPr="00370012" w:rsidRDefault="00E84658" w:rsidP="00636C3A">
      <w:pPr>
        <w:pStyle w:val="PrrafodelistaCar"/>
        <w:spacing w:after="150"/>
        <w:jc w:val="both"/>
        <w:rPr>
          <w:rFonts w:asciiTheme="majorHAnsi" w:hAnsiTheme="majorHAnsi" w:cstheme="majorHAnsi"/>
        </w:rPr>
      </w:pPr>
      <w:r w:rsidRPr="00370012">
        <w:rPr>
          <w:rFonts w:asciiTheme="majorHAnsi" w:hAnsiTheme="majorHAnsi" w:cstheme="majorHAnsi"/>
        </w:rPr>
        <w:t xml:space="preserve">Los </w:t>
      </w:r>
      <w:r w:rsidR="00C66230" w:rsidRPr="00B14E14">
        <w:rPr>
          <w:rFonts w:asciiTheme="majorHAnsi" w:hAnsiTheme="majorHAnsi" w:cstheme="majorHAnsi"/>
          <w:b/>
          <w:i/>
          <w:u w:val="single"/>
        </w:rPr>
        <w:t>bienes y/o</w:t>
      </w:r>
      <w:r w:rsidRPr="00B14E14">
        <w:rPr>
          <w:rFonts w:asciiTheme="majorHAnsi" w:hAnsiTheme="majorHAnsi" w:cstheme="majorHAnsi"/>
          <w:b/>
          <w:i/>
          <w:u w:val="single"/>
        </w:rPr>
        <w:t xml:space="preserve"> </w:t>
      </w:r>
      <w:r w:rsidR="00395A47" w:rsidRPr="00B14E14">
        <w:rPr>
          <w:rFonts w:asciiTheme="majorHAnsi" w:hAnsiTheme="majorHAnsi" w:cstheme="majorHAnsi"/>
          <w:b/>
          <w:i/>
          <w:u w:val="single"/>
        </w:rPr>
        <w:t>insumos</w:t>
      </w:r>
      <w:r w:rsidRPr="00B14E14">
        <w:rPr>
          <w:rFonts w:asciiTheme="majorHAnsi" w:hAnsiTheme="majorHAnsi" w:cstheme="majorHAnsi"/>
        </w:rPr>
        <w:t xml:space="preserve"> </w:t>
      </w:r>
      <w:r w:rsidRPr="00370012">
        <w:rPr>
          <w:rFonts w:asciiTheme="majorHAnsi" w:hAnsiTheme="majorHAnsi" w:cstheme="majorHAnsi"/>
        </w:rPr>
        <w:t>suministrados deberán ajustarse a las especificaciones técnicas y las normas estipuladas en este apartado. En caso de que no se haga referencia a una norma aplicable, la norma será aquella que resulte equivalente o superior a las normas oficiales de la República del Paraguay. Cualquier cambio de dichos códigos o normas durante la ejecución del contrato se aplicará solamente con la aprobación de la contratante y dicho cambio se regirá de conformidad a la cláusula de adendas y cambios.</w:t>
      </w:r>
    </w:p>
    <w:p w14:paraId="3BD1BDA5" w14:textId="77777777" w:rsidR="00E84658" w:rsidRPr="00370012" w:rsidRDefault="00E84658" w:rsidP="00636C3A">
      <w:pPr>
        <w:pStyle w:val="PrrafodelistaCar"/>
        <w:spacing w:after="150"/>
        <w:jc w:val="both"/>
        <w:rPr>
          <w:rFonts w:asciiTheme="majorHAnsi" w:hAnsiTheme="majorHAnsi" w:cstheme="majorHAnsi"/>
        </w:rPr>
      </w:pPr>
      <w:r w:rsidRPr="00370012">
        <w:rPr>
          <w:rFonts w:asciiTheme="majorHAnsi" w:hAnsiTheme="majorHAnsi" w:cstheme="majorHAnsi"/>
        </w:rPr>
        <w:t>El Proveedor tendrá derecho a rehusar responsabilidad por cualquier diseño, dato, plano, especificación u otro documento, o por cualquier modificación proporcionada o diseñada por o en nombre de la Contratante, mediante notificación a la misma de dicho rechazo.</w:t>
      </w:r>
    </w:p>
    <w:p w14:paraId="78654000" w14:textId="77777777" w:rsidR="00E84658" w:rsidRPr="00BA4A9A" w:rsidRDefault="00F44D19" w:rsidP="00BA4A9A">
      <w:pPr>
        <w:pStyle w:val="Estilo2Car"/>
        <w:numPr>
          <w:ilvl w:val="0"/>
          <w:numId w:val="37"/>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BA4A9A">
        <w:rPr>
          <w:rFonts w:asciiTheme="majorHAnsi" w:hAnsiTheme="majorHAnsi" w:cstheme="majorHAnsi"/>
        </w:rPr>
        <w:t>IDENTIFICACIÓN DE LA UNIDAD SOLICITANTE Y JUSTIFICACIONES</w:t>
      </w:r>
    </w:p>
    <w:p w14:paraId="5F5530C4" w14:textId="5301F934" w:rsidR="00E84658" w:rsidRDefault="00E84658" w:rsidP="00636C3A">
      <w:pPr>
        <w:tabs>
          <w:tab w:val="right" w:leader="dot" w:pos="9000"/>
        </w:tabs>
        <w:spacing w:after="0"/>
        <w:jc w:val="both"/>
        <w:rPr>
          <w:rFonts w:asciiTheme="majorHAnsi" w:hAnsiTheme="majorHAnsi" w:cstheme="majorHAnsi"/>
          <w:bCs/>
          <w:color w:val="FF0000"/>
          <w:lang w:val="es-ES"/>
        </w:rPr>
      </w:pPr>
    </w:p>
    <w:p w14:paraId="6AA420A2" w14:textId="77777777" w:rsidR="00F60328" w:rsidRDefault="00F60328" w:rsidP="00F60328">
      <w:pPr>
        <w:tabs>
          <w:tab w:val="right" w:leader="dot" w:pos="9000"/>
        </w:tabs>
        <w:spacing w:after="0"/>
        <w:jc w:val="both"/>
        <w:rPr>
          <w:rFonts w:asciiTheme="majorHAnsi" w:hAnsiTheme="majorHAnsi" w:cstheme="majorHAnsi"/>
          <w:b/>
          <w:lang w:val="es-ES"/>
        </w:rPr>
      </w:pPr>
      <w:r w:rsidRPr="0035606A">
        <w:rPr>
          <w:rFonts w:asciiTheme="majorHAnsi" w:hAnsiTheme="majorHAnsi" w:cstheme="majorHAnsi"/>
          <w:b/>
          <w:lang w:val="es-ES"/>
        </w:rPr>
        <w:t xml:space="preserve">El Memorándum N° </w:t>
      </w:r>
      <w:r>
        <w:rPr>
          <w:rFonts w:asciiTheme="majorHAnsi" w:hAnsiTheme="majorHAnsi" w:cstheme="majorHAnsi"/>
          <w:b/>
          <w:lang w:val="es-ES"/>
        </w:rPr>
        <w:t>19-26- ESTR01-04</w:t>
      </w:r>
      <w:r w:rsidRPr="0035606A">
        <w:rPr>
          <w:rFonts w:asciiTheme="majorHAnsi" w:hAnsiTheme="majorHAnsi" w:cstheme="majorHAnsi"/>
          <w:b/>
          <w:lang w:val="es-ES"/>
        </w:rPr>
        <w:t xml:space="preserve">, de fecha </w:t>
      </w:r>
      <w:r>
        <w:rPr>
          <w:rFonts w:asciiTheme="majorHAnsi" w:hAnsiTheme="majorHAnsi" w:cstheme="majorHAnsi"/>
          <w:b/>
          <w:lang w:val="es-ES"/>
        </w:rPr>
        <w:t xml:space="preserve">16 de junio </w:t>
      </w:r>
      <w:r w:rsidRPr="0035606A">
        <w:rPr>
          <w:rFonts w:asciiTheme="majorHAnsi" w:hAnsiTheme="majorHAnsi" w:cstheme="majorHAnsi"/>
          <w:b/>
          <w:lang w:val="es-ES"/>
        </w:rPr>
        <w:t>2026, mediante el cual</w:t>
      </w:r>
      <w:r>
        <w:rPr>
          <w:rFonts w:asciiTheme="majorHAnsi" w:hAnsiTheme="majorHAnsi" w:cstheme="majorHAnsi"/>
          <w:b/>
          <w:lang w:val="es-ES"/>
        </w:rPr>
        <w:t xml:space="preserve"> la Prof. Dra. ANDREA ARRÚA, Investigadora Líder y Principal solicita la compra de equipos necesarios para la ejecución del Proyecto ESTR01-04;</w:t>
      </w:r>
    </w:p>
    <w:p w14:paraId="0307883B" w14:textId="77777777" w:rsidR="00F60328" w:rsidRDefault="00F60328" w:rsidP="001B2AAF">
      <w:pPr>
        <w:tabs>
          <w:tab w:val="right" w:leader="dot" w:pos="9000"/>
        </w:tabs>
        <w:spacing w:after="0"/>
        <w:jc w:val="both"/>
        <w:rPr>
          <w:rFonts w:asciiTheme="majorHAnsi" w:hAnsiTheme="majorHAnsi" w:cstheme="majorHAnsi"/>
          <w:b/>
          <w:lang w:val="es-ES"/>
        </w:rPr>
      </w:pPr>
    </w:p>
    <w:p w14:paraId="60AA72E4" w14:textId="4C15FFEA" w:rsidR="001B2AAF" w:rsidRDefault="001B2AAF" w:rsidP="001B2AAF">
      <w:pPr>
        <w:tabs>
          <w:tab w:val="right" w:leader="dot" w:pos="9000"/>
        </w:tabs>
        <w:spacing w:after="0"/>
        <w:jc w:val="both"/>
        <w:rPr>
          <w:rFonts w:asciiTheme="majorHAnsi" w:hAnsiTheme="majorHAnsi" w:cstheme="majorHAnsi"/>
          <w:b/>
          <w:lang w:val="es-ES"/>
        </w:rPr>
      </w:pPr>
      <w:r>
        <w:rPr>
          <w:rFonts w:asciiTheme="majorHAnsi" w:hAnsiTheme="majorHAnsi" w:cstheme="majorHAnsi"/>
          <w:b/>
          <w:lang w:val="es-ES"/>
        </w:rPr>
        <w:t>El Memorándum N° 38/2026, de fecha 10 de junio de 2026, mediante el cual la Prof. Ing. FATIMA BARBOZA OCAMPOS, Directora de Proyectos solicita la compra de insumos de laboratorio necesarios para la ejecución del Proyecto PINV01-306;</w:t>
      </w:r>
    </w:p>
    <w:p w14:paraId="30CA9F38" w14:textId="77777777" w:rsidR="001B2AAF" w:rsidRDefault="001B2AAF" w:rsidP="001B2AAF">
      <w:pPr>
        <w:tabs>
          <w:tab w:val="right" w:leader="dot" w:pos="9000"/>
        </w:tabs>
        <w:spacing w:after="0"/>
        <w:jc w:val="both"/>
        <w:rPr>
          <w:rFonts w:asciiTheme="majorHAnsi" w:hAnsiTheme="majorHAnsi" w:cstheme="majorHAnsi"/>
          <w:b/>
          <w:lang w:val="es-ES"/>
        </w:rPr>
      </w:pPr>
    </w:p>
    <w:p w14:paraId="45561E1E" w14:textId="6C144510" w:rsidR="001B2AAF" w:rsidRDefault="001B2AAF" w:rsidP="001B2AAF">
      <w:pPr>
        <w:tabs>
          <w:tab w:val="right" w:leader="dot" w:pos="9000"/>
        </w:tabs>
        <w:spacing w:after="0"/>
        <w:jc w:val="both"/>
        <w:rPr>
          <w:rFonts w:asciiTheme="majorHAnsi" w:hAnsiTheme="majorHAnsi" w:cstheme="majorHAnsi"/>
          <w:b/>
          <w:lang w:val="es-ES"/>
        </w:rPr>
      </w:pPr>
      <w:r>
        <w:rPr>
          <w:rFonts w:asciiTheme="majorHAnsi" w:hAnsiTheme="majorHAnsi" w:cstheme="majorHAnsi"/>
          <w:b/>
          <w:lang w:val="es-ES"/>
        </w:rPr>
        <w:t>El Memorándum N° 37/2026, de fecha 10 de junio de 2026, mediante el cual la Prof. Ing. FATIMA BARBOZA OCAMPOS, Directora de Proyectos solicita la compra de insumos y equipos de laboratorio necesarios para la ejecución del Proyecto PINV01-91;</w:t>
      </w:r>
    </w:p>
    <w:p w14:paraId="0568BD64" w14:textId="194448D1" w:rsidR="001B2AAF" w:rsidRDefault="001B2AAF" w:rsidP="00636C3A">
      <w:pPr>
        <w:tabs>
          <w:tab w:val="right" w:leader="dot" w:pos="9000"/>
        </w:tabs>
        <w:spacing w:after="0"/>
        <w:jc w:val="both"/>
        <w:rPr>
          <w:rFonts w:asciiTheme="majorHAnsi" w:hAnsiTheme="majorHAnsi" w:cstheme="majorHAnsi"/>
          <w:b/>
          <w:lang w:val="es-ES"/>
        </w:rPr>
      </w:pPr>
    </w:p>
    <w:p w14:paraId="7AA81992" w14:textId="72E891EA" w:rsidR="001B2AAF" w:rsidRDefault="001B2AAF" w:rsidP="001B2AAF">
      <w:pPr>
        <w:tabs>
          <w:tab w:val="right" w:leader="dot" w:pos="9000"/>
        </w:tabs>
        <w:spacing w:after="0"/>
        <w:jc w:val="both"/>
        <w:rPr>
          <w:rFonts w:asciiTheme="majorHAnsi" w:hAnsiTheme="majorHAnsi" w:cstheme="majorHAnsi"/>
          <w:b/>
          <w:lang w:val="es-ES"/>
        </w:rPr>
      </w:pPr>
      <w:r>
        <w:rPr>
          <w:rFonts w:asciiTheme="majorHAnsi" w:hAnsiTheme="majorHAnsi" w:cstheme="majorHAnsi"/>
          <w:b/>
          <w:lang w:val="es-ES"/>
        </w:rPr>
        <w:t>El Memorándum N° 34/2026, de fecha 09 de junio de 2026, mediante el cual la Prof. Ing. FATIMA BARBOZA OCAMPOS, Directora de Proyectos solicita la compra de equipos de informática necesarios para la ejecución del Proyecto PINV01-110;</w:t>
      </w:r>
    </w:p>
    <w:p w14:paraId="6BAA2DB3" w14:textId="38507405" w:rsidR="001B2AAF" w:rsidRDefault="001B2AAF" w:rsidP="00636C3A">
      <w:pPr>
        <w:tabs>
          <w:tab w:val="right" w:leader="dot" w:pos="9000"/>
        </w:tabs>
        <w:spacing w:after="0"/>
        <w:jc w:val="both"/>
        <w:rPr>
          <w:rFonts w:asciiTheme="majorHAnsi" w:hAnsiTheme="majorHAnsi" w:cstheme="majorHAnsi"/>
          <w:b/>
          <w:lang w:val="es-ES"/>
        </w:rPr>
      </w:pPr>
    </w:p>
    <w:p w14:paraId="1CD24540" w14:textId="28C6360E" w:rsidR="001B2AAF" w:rsidRDefault="001B2AAF" w:rsidP="001B2AAF">
      <w:pPr>
        <w:tabs>
          <w:tab w:val="right" w:leader="dot" w:pos="9000"/>
        </w:tabs>
        <w:spacing w:after="0"/>
        <w:jc w:val="both"/>
        <w:rPr>
          <w:rFonts w:asciiTheme="majorHAnsi" w:hAnsiTheme="majorHAnsi" w:cstheme="majorHAnsi"/>
          <w:b/>
          <w:lang w:val="es-ES"/>
        </w:rPr>
      </w:pPr>
      <w:r>
        <w:rPr>
          <w:rFonts w:asciiTheme="majorHAnsi" w:hAnsiTheme="majorHAnsi" w:cstheme="majorHAnsi"/>
          <w:b/>
          <w:lang w:val="es-ES"/>
        </w:rPr>
        <w:t>El Memorándum N° 33/2026, de fecha 09 de junio de 2026, mediante el cual la Prof. Ing. FATIMA BARBOZA OCAMPOS, Directora de Proyectos solicita la compra de equipos de informática necesarios para la ejecución del Proyecto PINV01-776;</w:t>
      </w:r>
    </w:p>
    <w:p w14:paraId="0D761620" w14:textId="77777777" w:rsidR="00F60328" w:rsidRDefault="00F60328" w:rsidP="00636C3A">
      <w:pPr>
        <w:tabs>
          <w:tab w:val="right" w:leader="dot" w:pos="9000"/>
        </w:tabs>
        <w:spacing w:after="0"/>
        <w:jc w:val="both"/>
        <w:rPr>
          <w:rFonts w:asciiTheme="majorHAnsi" w:hAnsiTheme="majorHAnsi" w:cstheme="majorHAnsi"/>
          <w:b/>
          <w:lang w:val="es-ES"/>
        </w:rPr>
      </w:pPr>
    </w:p>
    <w:p w14:paraId="671AA830" w14:textId="3584CB7B" w:rsidR="00765262" w:rsidRDefault="00F843FB" w:rsidP="00F60328">
      <w:pPr>
        <w:tabs>
          <w:tab w:val="right" w:leader="dot" w:pos="9000"/>
        </w:tabs>
        <w:spacing w:after="0"/>
        <w:jc w:val="both"/>
        <w:rPr>
          <w:rFonts w:asciiTheme="majorHAnsi" w:hAnsiTheme="majorHAnsi" w:cstheme="majorHAnsi"/>
          <w:b/>
          <w:lang w:val="es-ES"/>
        </w:rPr>
      </w:pPr>
      <w:r w:rsidRPr="0035606A">
        <w:rPr>
          <w:rFonts w:asciiTheme="majorHAnsi" w:hAnsiTheme="majorHAnsi" w:cstheme="majorHAnsi"/>
          <w:b/>
          <w:lang w:val="es-ES"/>
        </w:rPr>
        <w:t xml:space="preserve">El </w:t>
      </w:r>
      <w:r w:rsidR="00891419" w:rsidRPr="0035606A">
        <w:rPr>
          <w:rFonts w:asciiTheme="majorHAnsi" w:hAnsiTheme="majorHAnsi" w:cstheme="majorHAnsi"/>
          <w:b/>
          <w:lang w:val="es-ES"/>
        </w:rPr>
        <w:t>Memorándum</w:t>
      </w:r>
      <w:r w:rsidR="00045230" w:rsidRPr="0035606A">
        <w:rPr>
          <w:rFonts w:asciiTheme="majorHAnsi" w:hAnsiTheme="majorHAnsi" w:cstheme="majorHAnsi"/>
          <w:b/>
          <w:lang w:val="es-ES"/>
        </w:rPr>
        <w:t xml:space="preserve"> N° </w:t>
      </w:r>
      <w:r w:rsidR="00C919B5">
        <w:rPr>
          <w:rFonts w:asciiTheme="majorHAnsi" w:hAnsiTheme="majorHAnsi" w:cstheme="majorHAnsi"/>
          <w:b/>
          <w:lang w:val="es-ES"/>
        </w:rPr>
        <w:t>19-26- ESTR01-04</w:t>
      </w:r>
      <w:r w:rsidRPr="0035606A">
        <w:rPr>
          <w:rFonts w:asciiTheme="majorHAnsi" w:hAnsiTheme="majorHAnsi" w:cstheme="majorHAnsi"/>
          <w:b/>
          <w:lang w:val="es-ES"/>
        </w:rPr>
        <w:t xml:space="preserve">, de fecha </w:t>
      </w:r>
      <w:r w:rsidR="00F60328">
        <w:rPr>
          <w:rFonts w:asciiTheme="majorHAnsi" w:hAnsiTheme="majorHAnsi" w:cstheme="majorHAnsi"/>
          <w:b/>
          <w:lang w:val="es-ES"/>
        </w:rPr>
        <w:t xml:space="preserve">03 de junio </w:t>
      </w:r>
      <w:r w:rsidR="00DB615E" w:rsidRPr="0035606A">
        <w:rPr>
          <w:rFonts w:asciiTheme="majorHAnsi" w:hAnsiTheme="majorHAnsi" w:cstheme="majorHAnsi"/>
          <w:b/>
          <w:lang w:val="es-ES"/>
        </w:rPr>
        <w:t>202</w:t>
      </w:r>
      <w:r w:rsidR="00CF749D" w:rsidRPr="0035606A">
        <w:rPr>
          <w:rFonts w:asciiTheme="majorHAnsi" w:hAnsiTheme="majorHAnsi" w:cstheme="majorHAnsi"/>
          <w:b/>
          <w:lang w:val="es-ES"/>
        </w:rPr>
        <w:t>6</w:t>
      </w:r>
      <w:r w:rsidRPr="0035606A">
        <w:rPr>
          <w:rFonts w:asciiTheme="majorHAnsi" w:hAnsiTheme="majorHAnsi" w:cstheme="majorHAnsi"/>
          <w:b/>
          <w:lang w:val="es-ES"/>
        </w:rPr>
        <w:t>, mediante el cual</w:t>
      </w:r>
      <w:r w:rsidR="00F60328">
        <w:rPr>
          <w:rFonts w:asciiTheme="majorHAnsi" w:hAnsiTheme="majorHAnsi" w:cstheme="majorHAnsi"/>
          <w:b/>
          <w:lang w:val="es-ES"/>
        </w:rPr>
        <w:t xml:space="preserve"> </w:t>
      </w:r>
      <w:r w:rsidR="00DB615E">
        <w:rPr>
          <w:rFonts w:asciiTheme="majorHAnsi" w:hAnsiTheme="majorHAnsi" w:cstheme="majorHAnsi"/>
          <w:b/>
          <w:lang w:val="es-ES"/>
        </w:rPr>
        <w:t xml:space="preserve">la Prof. </w:t>
      </w:r>
      <w:r w:rsidR="00CF749D">
        <w:rPr>
          <w:rFonts w:asciiTheme="majorHAnsi" w:hAnsiTheme="majorHAnsi" w:cstheme="majorHAnsi"/>
          <w:b/>
          <w:lang w:val="es-ES"/>
        </w:rPr>
        <w:t>Dra. ANDREA ARRÚA</w:t>
      </w:r>
      <w:r w:rsidR="00DB615E">
        <w:rPr>
          <w:rFonts w:asciiTheme="majorHAnsi" w:hAnsiTheme="majorHAnsi" w:cstheme="majorHAnsi"/>
          <w:b/>
          <w:lang w:val="es-ES"/>
        </w:rPr>
        <w:t xml:space="preserve">, </w:t>
      </w:r>
      <w:r w:rsidR="00CF749D">
        <w:rPr>
          <w:rFonts w:asciiTheme="majorHAnsi" w:hAnsiTheme="majorHAnsi" w:cstheme="majorHAnsi"/>
          <w:b/>
          <w:lang w:val="es-ES"/>
        </w:rPr>
        <w:t>Investigadora Líder y Principal</w:t>
      </w:r>
      <w:r w:rsidR="00DB615E">
        <w:rPr>
          <w:rFonts w:asciiTheme="majorHAnsi" w:hAnsiTheme="majorHAnsi" w:cstheme="majorHAnsi"/>
          <w:b/>
          <w:lang w:val="es-ES"/>
        </w:rPr>
        <w:t xml:space="preserve"> solicita la compra de </w:t>
      </w:r>
      <w:r w:rsidR="00F60328">
        <w:rPr>
          <w:rFonts w:asciiTheme="majorHAnsi" w:hAnsiTheme="majorHAnsi" w:cstheme="majorHAnsi"/>
          <w:b/>
          <w:lang w:val="es-ES"/>
        </w:rPr>
        <w:t>insumos de laboratorio</w:t>
      </w:r>
      <w:r w:rsidR="00DB615E">
        <w:rPr>
          <w:rFonts w:asciiTheme="majorHAnsi" w:hAnsiTheme="majorHAnsi" w:cstheme="majorHAnsi"/>
          <w:b/>
          <w:lang w:val="es-ES"/>
        </w:rPr>
        <w:t xml:space="preserve">  necesarios para la ejecución del Proyecto </w:t>
      </w:r>
      <w:r w:rsidR="00CF749D">
        <w:rPr>
          <w:rFonts w:asciiTheme="majorHAnsi" w:hAnsiTheme="majorHAnsi" w:cstheme="majorHAnsi"/>
          <w:b/>
          <w:lang w:val="es-ES"/>
        </w:rPr>
        <w:t>ESTR01-04</w:t>
      </w:r>
      <w:r w:rsidR="00DB615E">
        <w:rPr>
          <w:rFonts w:asciiTheme="majorHAnsi" w:hAnsiTheme="majorHAnsi" w:cstheme="majorHAnsi"/>
          <w:b/>
          <w:lang w:val="es-ES"/>
        </w:rPr>
        <w:t>;</w:t>
      </w:r>
    </w:p>
    <w:p w14:paraId="28718F1B" w14:textId="278BC47E" w:rsidR="00CF749D" w:rsidRDefault="00CF749D" w:rsidP="00660913">
      <w:pPr>
        <w:tabs>
          <w:tab w:val="right" w:leader="dot" w:pos="9000"/>
        </w:tabs>
        <w:spacing w:after="120"/>
        <w:jc w:val="both"/>
        <w:rPr>
          <w:rFonts w:asciiTheme="majorHAnsi" w:hAnsiTheme="majorHAnsi" w:cstheme="majorHAnsi"/>
          <w:b/>
          <w:lang w:val="es-ES"/>
        </w:rPr>
      </w:pPr>
    </w:p>
    <w:p w14:paraId="37FDECC4" w14:textId="77777777" w:rsidR="00CF749D" w:rsidRDefault="00CF749D" w:rsidP="00660913">
      <w:pPr>
        <w:tabs>
          <w:tab w:val="right" w:leader="dot" w:pos="9000"/>
        </w:tabs>
        <w:spacing w:after="120"/>
        <w:jc w:val="both"/>
        <w:rPr>
          <w:rFonts w:asciiTheme="majorHAnsi" w:hAnsiTheme="majorHAnsi" w:cstheme="majorHAnsi"/>
          <w:b/>
          <w:lang w:val="es-ES"/>
        </w:rPr>
      </w:pPr>
    </w:p>
    <w:p w14:paraId="26AD2160" w14:textId="1BFE171D" w:rsidR="008F2F9A" w:rsidRDefault="008F2F9A" w:rsidP="00660913">
      <w:pPr>
        <w:tabs>
          <w:tab w:val="right" w:leader="dot" w:pos="9000"/>
        </w:tabs>
        <w:spacing w:after="120"/>
        <w:jc w:val="both"/>
        <w:rPr>
          <w:rFonts w:asciiTheme="majorHAnsi" w:hAnsiTheme="majorHAnsi" w:cstheme="majorHAnsi"/>
          <w:b/>
          <w:lang w:val="es-ES"/>
        </w:rPr>
      </w:pPr>
    </w:p>
    <w:p w14:paraId="7DC96369" w14:textId="77777777" w:rsidR="00FC186A" w:rsidRDefault="00FC186A" w:rsidP="00660913">
      <w:pPr>
        <w:tabs>
          <w:tab w:val="right" w:leader="dot" w:pos="9000"/>
        </w:tabs>
        <w:spacing w:after="120"/>
        <w:jc w:val="both"/>
        <w:rPr>
          <w:rFonts w:asciiTheme="majorHAnsi" w:hAnsiTheme="majorHAnsi" w:cstheme="majorHAnsi"/>
          <w:b/>
          <w:lang w:val="es-ES"/>
        </w:rPr>
      </w:pPr>
    </w:p>
    <w:p w14:paraId="4E2DE3BB" w14:textId="77777777" w:rsidR="00E84658" w:rsidRPr="00BA4A9A" w:rsidRDefault="00F44D19" w:rsidP="00E02FD3">
      <w:pPr>
        <w:pStyle w:val="Estilo2Car"/>
        <w:numPr>
          <w:ilvl w:val="0"/>
          <w:numId w:val="37"/>
        </w:numPr>
        <w:pBdr>
          <w:top w:val="single" w:sz="4" w:space="1" w:color="auto"/>
          <w:left w:val="single" w:sz="4" w:space="4" w:color="auto"/>
          <w:bottom w:val="single" w:sz="4" w:space="0" w:color="auto"/>
          <w:right w:val="single" w:sz="4" w:space="4" w:color="auto"/>
        </w:pBdr>
        <w:jc w:val="both"/>
        <w:rPr>
          <w:rFonts w:asciiTheme="majorHAnsi" w:hAnsiTheme="majorHAnsi" w:cstheme="majorHAnsi"/>
        </w:rPr>
      </w:pPr>
      <w:bookmarkStart w:id="16" w:name="_Toc106188526"/>
      <w:r w:rsidRPr="00BA4A9A">
        <w:rPr>
          <w:rFonts w:asciiTheme="majorHAnsi" w:hAnsiTheme="majorHAnsi" w:cstheme="majorHAnsi"/>
        </w:rPr>
        <w:t>ESPECIFICACIONES TÉCNICAS</w:t>
      </w:r>
      <w:bookmarkEnd w:id="16"/>
      <w:r w:rsidR="00E84658" w:rsidRPr="00BA4A9A">
        <w:rPr>
          <w:rFonts w:asciiTheme="majorHAnsi" w:hAnsiTheme="majorHAnsi" w:cstheme="majorHAnsi"/>
          <w:noProof/>
          <w:lang w:val="es-ES" w:eastAsia="es-ES"/>
        </w:rPr>
        <w:drawing>
          <wp:inline distT="0" distB="0" distL="0" distR="0" wp14:anchorId="74039813" wp14:editId="48EE0F02">
            <wp:extent cx="277978" cy="296601"/>
            <wp:effectExtent l="0" t="0" r="8255" b="825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283" cy="308663"/>
                    </a:xfrm>
                    <a:prstGeom prst="rect">
                      <a:avLst/>
                    </a:prstGeom>
                    <a:noFill/>
                    <a:ln>
                      <a:noFill/>
                    </a:ln>
                  </pic:spPr>
                </pic:pic>
              </a:graphicData>
            </a:graphic>
          </wp:inline>
        </w:drawing>
      </w:r>
    </w:p>
    <w:p w14:paraId="6671C993" w14:textId="67DFC4A7" w:rsidR="008F2F9A" w:rsidRDefault="00E84658" w:rsidP="00636C3A">
      <w:pPr>
        <w:suppressAutoHyphens/>
        <w:spacing w:after="0"/>
        <w:jc w:val="both"/>
        <w:rPr>
          <w:rFonts w:asciiTheme="majorHAnsi" w:hAnsiTheme="majorHAnsi" w:cstheme="majorHAnsi"/>
          <w:shd w:val="clear" w:color="auto" w:fill="FFFFFF"/>
        </w:rPr>
      </w:pPr>
      <w:r w:rsidRPr="00370012">
        <w:rPr>
          <w:rFonts w:asciiTheme="majorHAnsi" w:hAnsiTheme="majorHAnsi" w:cstheme="majorHAnsi"/>
          <w:shd w:val="clear" w:color="auto" w:fill="FFFFFF"/>
        </w:rPr>
        <w:t xml:space="preserve">Los productos y/o </w:t>
      </w:r>
      <w:r w:rsidR="0030565C">
        <w:rPr>
          <w:rFonts w:asciiTheme="majorHAnsi" w:hAnsiTheme="majorHAnsi" w:cstheme="majorHAnsi"/>
          <w:shd w:val="clear" w:color="auto" w:fill="FFFFFF"/>
        </w:rPr>
        <w:t>insumos</w:t>
      </w:r>
      <w:r w:rsidRPr="00370012">
        <w:rPr>
          <w:rFonts w:asciiTheme="majorHAnsi" w:hAnsiTheme="majorHAnsi" w:cstheme="majorHAnsi"/>
          <w:shd w:val="clear" w:color="auto" w:fill="FFFFFF"/>
        </w:rPr>
        <w:t xml:space="preserve"> a ser requeridos cuentan con las siguientes especificaciones técnicas:</w:t>
      </w:r>
    </w:p>
    <w:p w14:paraId="0E882B24" w14:textId="77777777" w:rsidR="00FC186A" w:rsidRDefault="00FC186A" w:rsidP="00636C3A">
      <w:pPr>
        <w:suppressAutoHyphens/>
        <w:spacing w:after="0"/>
        <w:jc w:val="both"/>
        <w:rPr>
          <w:rFonts w:asciiTheme="majorHAnsi" w:hAnsiTheme="majorHAnsi" w:cstheme="majorHAnsi"/>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
        <w:gridCol w:w="1550"/>
        <w:gridCol w:w="2280"/>
        <w:gridCol w:w="735"/>
        <w:gridCol w:w="697"/>
        <w:gridCol w:w="1006"/>
        <w:gridCol w:w="1056"/>
        <w:gridCol w:w="1040"/>
      </w:tblGrid>
      <w:tr w:rsidR="00FC186A" w:rsidRPr="00FC186A" w14:paraId="6BB13A6D" w14:textId="77777777" w:rsidTr="00625E1F">
        <w:trPr>
          <w:trHeight w:val="795"/>
        </w:trPr>
        <w:tc>
          <w:tcPr>
            <w:tcW w:w="0" w:type="auto"/>
            <w:gridSpan w:val="8"/>
            <w:shd w:val="clear" w:color="F7CAAC" w:fill="F7CAAC"/>
            <w:vAlign w:val="center"/>
          </w:tcPr>
          <w:p w14:paraId="2D994322" w14:textId="04259D3E" w:rsidR="00FC186A" w:rsidRPr="00FC186A" w:rsidRDefault="00FC186A" w:rsidP="00FC186A">
            <w:pPr>
              <w:spacing w:after="0" w:line="240" w:lineRule="auto"/>
              <w:jc w:val="center"/>
              <w:rPr>
                <w:rFonts w:eastAsia="Times New Roman" w:cs="Calibri"/>
                <w:b/>
                <w:bCs/>
                <w:color w:val="000000"/>
                <w:sz w:val="16"/>
                <w:szCs w:val="16"/>
                <w:lang w:eastAsia="es-PY"/>
              </w:rPr>
            </w:pPr>
            <w:r>
              <w:rPr>
                <w:rFonts w:eastAsia="Times New Roman" w:cs="Calibri"/>
                <w:b/>
                <w:bCs/>
                <w:color w:val="000000"/>
                <w:sz w:val="16"/>
                <w:szCs w:val="16"/>
                <w:lang w:eastAsia="es-PY"/>
              </w:rPr>
              <w:t>PROYECTO PINV01-306</w:t>
            </w:r>
          </w:p>
        </w:tc>
      </w:tr>
      <w:tr w:rsidR="00FC186A" w:rsidRPr="00FC186A" w14:paraId="236EABAE" w14:textId="77777777" w:rsidTr="00FC186A">
        <w:trPr>
          <w:trHeight w:val="795"/>
        </w:trPr>
        <w:tc>
          <w:tcPr>
            <w:tcW w:w="0" w:type="auto"/>
            <w:shd w:val="clear" w:color="F7CAAC" w:fill="F7CAAC"/>
            <w:vAlign w:val="center"/>
            <w:hideMark/>
          </w:tcPr>
          <w:p w14:paraId="48B29E45" w14:textId="2A5E11EA"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Ítem N</w:t>
            </w:r>
            <w:r>
              <w:rPr>
                <w:rFonts w:eastAsia="Times New Roman" w:cs="Calibri"/>
                <w:b/>
                <w:bCs/>
                <w:color w:val="000000"/>
                <w:sz w:val="16"/>
                <w:szCs w:val="16"/>
                <w:lang w:eastAsia="es-PY"/>
              </w:rPr>
              <w:t>°</w:t>
            </w:r>
            <w:r w:rsidRPr="00FC186A">
              <w:rPr>
                <w:rFonts w:eastAsia="Times New Roman" w:cs="Calibri"/>
                <w:b/>
                <w:bCs/>
                <w:color w:val="000000"/>
                <w:sz w:val="16"/>
                <w:szCs w:val="16"/>
                <w:lang w:eastAsia="es-PY"/>
              </w:rPr>
              <w:t xml:space="preserve"> </w:t>
            </w:r>
          </w:p>
        </w:tc>
        <w:tc>
          <w:tcPr>
            <w:tcW w:w="0" w:type="auto"/>
            <w:shd w:val="clear" w:color="F7CAAC" w:fill="F7CAAC"/>
            <w:noWrap/>
            <w:vAlign w:val="center"/>
            <w:hideMark/>
          </w:tcPr>
          <w:p w14:paraId="076E9B4A"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Descripción del bien</w:t>
            </w:r>
          </w:p>
        </w:tc>
        <w:tc>
          <w:tcPr>
            <w:tcW w:w="0" w:type="auto"/>
            <w:shd w:val="clear" w:color="F7CAAC" w:fill="F7CAAC"/>
            <w:noWrap/>
            <w:vAlign w:val="center"/>
            <w:hideMark/>
          </w:tcPr>
          <w:p w14:paraId="39480E6B"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Especificaciones técnicas</w:t>
            </w:r>
          </w:p>
        </w:tc>
        <w:tc>
          <w:tcPr>
            <w:tcW w:w="0" w:type="auto"/>
            <w:shd w:val="clear" w:color="F7CAAC" w:fill="F7CAAC"/>
            <w:vAlign w:val="center"/>
            <w:hideMark/>
          </w:tcPr>
          <w:p w14:paraId="1C5E02FA"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Cantidad </w:t>
            </w:r>
          </w:p>
        </w:tc>
        <w:tc>
          <w:tcPr>
            <w:tcW w:w="0" w:type="auto"/>
            <w:shd w:val="clear" w:color="F7CAAC" w:fill="F7CAAC"/>
            <w:vAlign w:val="center"/>
            <w:hideMark/>
          </w:tcPr>
          <w:p w14:paraId="5DA4FE12"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Unidad de medida </w:t>
            </w:r>
          </w:p>
        </w:tc>
        <w:tc>
          <w:tcPr>
            <w:tcW w:w="0" w:type="auto"/>
            <w:shd w:val="clear" w:color="F7CAAC" w:fill="F7CAAC"/>
            <w:vAlign w:val="center"/>
            <w:hideMark/>
          </w:tcPr>
          <w:p w14:paraId="1DB3DCCC"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Presentación </w:t>
            </w:r>
          </w:p>
        </w:tc>
        <w:tc>
          <w:tcPr>
            <w:tcW w:w="0" w:type="auto"/>
            <w:shd w:val="clear" w:color="F7CAAC" w:fill="F7CAAC"/>
            <w:vAlign w:val="center"/>
            <w:hideMark/>
          </w:tcPr>
          <w:p w14:paraId="182A32F0"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 Precio Unitario Referencial (IVA INCLUIDO) </w:t>
            </w:r>
          </w:p>
        </w:tc>
        <w:tc>
          <w:tcPr>
            <w:tcW w:w="0" w:type="auto"/>
            <w:shd w:val="clear" w:color="F7CAAC" w:fill="F7CAAC"/>
            <w:vAlign w:val="center"/>
            <w:hideMark/>
          </w:tcPr>
          <w:p w14:paraId="25F0D6D7"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 Precio Total Referencial (IVA INCLUIDO) </w:t>
            </w:r>
          </w:p>
        </w:tc>
      </w:tr>
      <w:tr w:rsidR="00FC186A" w:rsidRPr="00FC186A" w14:paraId="304F61A2" w14:textId="77777777" w:rsidTr="00FC186A">
        <w:trPr>
          <w:trHeight w:val="1656"/>
        </w:trPr>
        <w:tc>
          <w:tcPr>
            <w:tcW w:w="0" w:type="auto"/>
            <w:shd w:val="clear" w:color="F7CAAC" w:fill="FFFFFF"/>
            <w:vAlign w:val="center"/>
            <w:hideMark/>
          </w:tcPr>
          <w:p w14:paraId="67BD072D"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0" w:type="auto"/>
            <w:shd w:val="clear" w:color="F7CAAC" w:fill="FFFFFF"/>
            <w:vAlign w:val="center"/>
            <w:hideMark/>
          </w:tcPr>
          <w:p w14:paraId="59C948CD"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Cámara de conteo</w:t>
            </w:r>
          </w:p>
        </w:tc>
        <w:tc>
          <w:tcPr>
            <w:tcW w:w="0" w:type="auto"/>
            <w:shd w:val="clear" w:color="F7CAAC" w:fill="FFFFFF"/>
            <w:vAlign w:val="center"/>
            <w:hideMark/>
          </w:tcPr>
          <w:p w14:paraId="19FAB931"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Portaobjetos de microscopio de 2 cámaras con</w:t>
            </w:r>
            <w:r w:rsidRPr="00FC186A">
              <w:rPr>
                <w:rFonts w:eastAsia="Times New Roman" w:cs="Calibri"/>
                <w:color w:val="000000"/>
                <w:sz w:val="16"/>
                <w:szCs w:val="16"/>
                <w:lang w:eastAsia="es-PY"/>
              </w:rPr>
              <w:br/>
              <w:t>método McMaster para realizar recuentos de</w:t>
            </w:r>
            <w:r w:rsidRPr="00FC186A">
              <w:rPr>
                <w:rFonts w:eastAsia="Times New Roman" w:cs="Calibri"/>
                <w:color w:val="000000"/>
                <w:sz w:val="16"/>
                <w:szCs w:val="16"/>
                <w:lang w:eastAsia="es-PY"/>
              </w:rPr>
              <w:br/>
              <w:t>huevos fecales (FEC).</w:t>
            </w:r>
            <w:r w:rsidRPr="00FC186A">
              <w:rPr>
                <w:rFonts w:eastAsia="Times New Roman" w:cs="Calibri"/>
                <w:color w:val="000000"/>
                <w:sz w:val="16"/>
                <w:szCs w:val="16"/>
                <w:lang w:eastAsia="es-PY"/>
              </w:rPr>
              <w:br/>
              <w:t>Para uso de veterinarios, laboratorios,</w:t>
            </w:r>
            <w:r w:rsidRPr="00FC186A">
              <w:rPr>
                <w:rFonts w:eastAsia="Times New Roman" w:cs="Calibri"/>
                <w:color w:val="000000"/>
                <w:sz w:val="16"/>
                <w:szCs w:val="16"/>
                <w:lang w:eastAsia="es-PY"/>
              </w:rPr>
              <w:br/>
              <w:t>administradores de graneros, propietarios de</w:t>
            </w:r>
            <w:r w:rsidRPr="00FC186A">
              <w:rPr>
                <w:rFonts w:eastAsia="Times New Roman" w:cs="Calibri"/>
                <w:color w:val="000000"/>
                <w:sz w:val="16"/>
                <w:szCs w:val="16"/>
                <w:lang w:eastAsia="es-PY"/>
              </w:rPr>
              <w:br/>
              <w:t>ganado, ranchos y granjas.</w:t>
            </w:r>
          </w:p>
        </w:tc>
        <w:tc>
          <w:tcPr>
            <w:tcW w:w="0" w:type="auto"/>
            <w:shd w:val="clear" w:color="F7CAAC" w:fill="FFFFFF"/>
            <w:vAlign w:val="center"/>
            <w:hideMark/>
          </w:tcPr>
          <w:p w14:paraId="429F42AD"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0" w:type="auto"/>
            <w:shd w:val="clear" w:color="F7CAAC" w:fill="FFFFFF"/>
            <w:vAlign w:val="center"/>
            <w:hideMark/>
          </w:tcPr>
          <w:p w14:paraId="72CDB153"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5818AC1F"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458FFB8D"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522.500 </w:t>
            </w:r>
          </w:p>
        </w:tc>
        <w:tc>
          <w:tcPr>
            <w:tcW w:w="0" w:type="auto"/>
            <w:shd w:val="clear" w:color="F7CAAC" w:fill="FFFFFF"/>
            <w:vAlign w:val="center"/>
            <w:hideMark/>
          </w:tcPr>
          <w:p w14:paraId="3FB2255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522.500 </w:t>
            </w:r>
          </w:p>
        </w:tc>
      </w:tr>
      <w:tr w:rsidR="00FC186A" w:rsidRPr="00FC186A" w14:paraId="1806909A" w14:textId="77777777" w:rsidTr="00FC186A">
        <w:trPr>
          <w:trHeight w:val="1095"/>
        </w:trPr>
        <w:tc>
          <w:tcPr>
            <w:tcW w:w="0" w:type="auto"/>
            <w:shd w:val="clear" w:color="F7CAAC" w:fill="FFFFFF"/>
            <w:vAlign w:val="center"/>
            <w:hideMark/>
          </w:tcPr>
          <w:p w14:paraId="70615452"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2</w:t>
            </w:r>
          </w:p>
        </w:tc>
        <w:tc>
          <w:tcPr>
            <w:tcW w:w="0" w:type="auto"/>
            <w:shd w:val="clear" w:color="F7CAAC" w:fill="FFFFFF"/>
            <w:vAlign w:val="center"/>
            <w:hideMark/>
          </w:tcPr>
          <w:p w14:paraId="60ECD123"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Tubos capilares de vidrio</w:t>
            </w:r>
          </w:p>
        </w:tc>
        <w:tc>
          <w:tcPr>
            <w:tcW w:w="0" w:type="auto"/>
            <w:shd w:val="clear" w:color="F7CAAC" w:fill="FFFFFF"/>
            <w:vAlign w:val="center"/>
            <w:hideMark/>
          </w:tcPr>
          <w:p w14:paraId="78201596"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Tubos de fusión de vidrio de borosilicato</w:t>
            </w:r>
          </w:p>
        </w:tc>
        <w:tc>
          <w:tcPr>
            <w:tcW w:w="0" w:type="auto"/>
            <w:shd w:val="clear" w:color="F7CAAC" w:fill="FFFFFF"/>
            <w:vAlign w:val="center"/>
            <w:hideMark/>
          </w:tcPr>
          <w:p w14:paraId="01E90E96"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3</w:t>
            </w:r>
          </w:p>
        </w:tc>
        <w:tc>
          <w:tcPr>
            <w:tcW w:w="0" w:type="auto"/>
            <w:shd w:val="clear" w:color="F7CAAC" w:fill="FFFFFF"/>
            <w:vAlign w:val="center"/>
            <w:hideMark/>
          </w:tcPr>
          <w:p w14:paraId="64E143F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30F952C5"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caja </w:t>
            </w:r>
          </w:p>
        </w:tc>
        <w:tc>
          <w:tcPr>
            <w:tcW w:w="0" w:type="auto"/>
            <w:shd w:val="clear" w:color="F7CAAC" w:fill="FFFFFF"/>
            <w:vAlign w:val="center"/>
            <w:hideMark/>
          </w:tcPr>
          <w:p w14:paraId="67E91998"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390.000 </w:t>
            </w:r>
          </w:p>
        </w:tc>
        <w:tc>
          <w:tcPr>
            <w:tcW w:w="0" w:type="auto"/>
            <w:shd w:val="clear" w:color="F7CAAC" w:fill="FFFFFF"/>
            <w:vAlign w:val="center"/>
            <w:hideMark/>
          </w:tcPr>
          <w:p w14:paraId="7487C7BD"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1.170.000 </w:t>
            </w:r>
          </w:p>
        </w:tc>
      </w:tr>
      <w:tr w:rsidR="00FC186A" w:rsidRPr="00FC186A" w14:paraId="687B4FF0" w14:textId="77777777" w:rsidTr="00FC186A">
        <w:trPr>
          <w:trHeight w:val="1065"/>
        </w:trPr>
        <w:tc>
          <w:tcPr>
            <w:tcW w:w="0" w:type="auto"/>
            <w:shd w:val="clear" w:color="F7CAAC" w:fill="FFFFFF"/>
            <w:vAlign w:val="center"/>
            <w:hideMark/>
          </w:tcPr>
          <w:p w14:paraId="4EE62FFF"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3</w:t>
            </w:r>
          </w:p>
        </w:tc>
        <w:tc>
          <w:tcPr>
            <w:tcW w:w="0" w:type="auto"/>
            <w:shd w:val="clear" w:color="F7CAAC" w:fill="FFFFFF"/>
            <w:vAlign w:val="center"/>
            <w:hideMark/>
          </w:tcPr>
          <w:p w14:paraId="6FCC317C"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Juego de portaobjetos y laminillas</w:t>
            </w:r>
          </w:p>
        </w:tc>
        <w:tc>
          <w:tcPr>
            <w:tcW w:w="0" w:type="auto"/>
            <w:shd w:val="clear" w:color="F7CAAC" w:fill="FFFFFF"/>
            <w:vAlign w:val="center"/>
            <w:hideMark/>
          </w:tcPr>
          <w:p w14:paraId="079358D0"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Juego de portaobjetos en presentación de 50 unidades  y laminillas en presentación de 100 unidades. Presentación en caja </w:t>
            </w:r>
          </w:p>
        </w:tc>
        <w:tc>
          <w:tcPr>
            <w:tcW w:w="0" w:type="auto"/>
            <w:shd w:val="clear" w:color="F7CAAC" w:fill="FFFFFF"/>
            <w:vAlign w:val="center"/>
            <w:hideMark/>
          </w:tcPr>
          <w:p w14:paraId="3AC2D34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5</w:t>
            </w:r>
          </w:p>
        </w:tc>
        <w:tc>
          <w:tcPr>
            <w:tcW w:w="0" w:type="auto"/>
            <w:shd w:val="clear" w:color="F7CAAC" w:fill="FFFFFF"/>
            <w:vAlign w:val="center"/>
            <w:hideMark/>
          </w:tcPr>
          <w:p w14:paraId="5F30B2C5"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6A471731"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caja </w:t>
            </w:r>
          </w:p>
        </w:tc>
        <w:tc>
          <w:tcPr>
            <w:tcW w:w="0" w:type="auto"/>
            <w:shd w:val="clear" w:color="F7CAAC" w:fill="FFFFFF"/>
            <w:vAlign w:val="center"/>
            <w:hideMark/>
          </w:tcPr>
          <w:p w14:paraId="445194A8"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270.000 </w:t>
            </w:r>
          </w:p>
        </w:tc>
        <w:tc>
          <w:tcPr>
            <w:tcW w:w="0" w:type="auto"/>
            <w:shd w:val="clear" w:color="F7CAAC" w:fill="FFFFFF"/>
            <w:vAlign w:val="center"/>
            <w:hideMark/>
          </w:tcPr>
          <w:p w14:paraId="08C0D36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1.350.000 </w:t>
            </w:r>
          </w:p>
        </w:tc>
      </w:tr>
      <w:tr w:rsidR="00FC186A" w:rsidRPr="00FC186A" w14:paraId="468DD000" w14:textId="77777777" w:rsidTr="00FC186A">
        <w:trPr>
          <w:trHeight w:val="585"/>
        </w:trPr>
        <w:tc>
          <w:tcPr>
            <w:tcW w:w="0" w:type="auto"/>
            <w:shd w:val="clear" w:color="F7CAAC" w:fill="FFFFFF"/>
            <w:vAlign w:val="center"/>
            <w:hideMark/>
          </w:tcPr>
          <w:p w14:paraId="5DB6A07F"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4</w:t>
            </w:r>
          </w:p>
        </w:tc>
        <w:tc>
          <w:tcPr>
            <w:tcW w:w="0" w:type="auto"/>
            <w:shd w:val="clear" w:color="F7CAAC" w:fill="FFFFFF"/>
            <w:vAlign w:val="center"/>
            <w:hideMark/>
          </w:tcPr>
          <w:p w14:paraId="42382112"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Metanol </w:t>
            </w:r>
          </w:p>
        </w:tc>
        <w:tc>
          <w:tcPr>
            <w:tcW w:w="0" w:type="auto"/>
            <w:shd w:val="clear" w:color="F7CAAC" w:fill="FFFFFF"/>
            <w:vAlign w:val="center"/>
            <w:hideMark/>
          </w:tcPr>
          <w:p w14:paraId="7E598FD2"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metanol anhidro ra (acs).  . fórmula: ch3oh. número c.a.s.: [67-56-1] . peso molecular: 32.04g/mol. Presentación frasco 1L </w:t>
            </w:r>
          </w:p>
        </w:tc>
        <w:tc>
          <w:tcPr>
            <w:tcW w:w="0" w:type="auto"/>
            <w:shd w:val="clear" w:color="F7CAAC" w:fill="FFFFFF"/>
            <w:vAlign w:val="center"/>
            <w:hideMark/>
          </w:tcPr>
          <w:p w14:paraId="4CEF54C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0" w:type="auto"/>
            <w:shd w:val="clear" w:color="F7CAAC" w:fill="FFFFFF"/>
            <w:vAlign w:val="center"/>
            <w:hideMark/>
          </w:tcPr>
          <w:p w14:paraId="149499A2"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23D6A3EF"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frasco </w:t>
            </w:r>
          </w:p>
        </w:tc>
        <w:tc>
          <w:tcPr>
            <w:tcW w:w="0" w:type="auto"/>
            <w:shd w:val="clear" w:color="F7CAAC" w:fill="FFFFFF"/>
            <w:vAlign w:val="center"/>
            <w:hideMark/>
          </w:tcPr>
          <w:p w14:paraId="7C5BD79F"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142.000 </w:t>
            </w:r>
          </w:p>
        </w:tc>
        <w:tc>
          <w:tcPr>
            <w:tcW w:w="0" w:type="auto"/>
            <w:shd w:val="clear" w:color="F7CAAC" w:fill="FFFFFF"/>
            <w:vAlign w:val="center"/>
            <w:hideMark/>
          </w:tcPr>
          <w:p w14:paraId="6A6BD9C2"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142.000 </w:t>
            </w:r>
          </w:p>
        </w:tc>
      </w:tr>
      <w:tr w:rsidR="00FC186A" w:rsidRPr="00FC186A" w14:paraId="14A15E7C" w14:textId="77777777" w:rsidTr="00FC186A">
        <w:trPr>
          <w:trHeight w:val="660"/>
        </w:trPr>
        <w:tc>
          <w:tcPr>
            <w:tcW w:w="0" w:type="auto"/>
            <w:shd w:val="clear" w:color="F7CAAC" w:fill="FFFFFF"/>
            <w:vAlign w:val="center"/>
            <w:hideMark/>
          </w:tcPr>
          <w:p w14:paraId="497178C0"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5</w:t>
            </w:r>
          </w:p>
        </w:tc>
        <w:tc>
          <w:tcPr>
            <w:tcW w:w="0" w:type="auto"/>
            <w:shd w:val="clear" w:color="F7CAAC" w:fill="FFFFFF"/>
            <w:vAlign w:val="center"/>
            <w:hideMark/>
          </w:tcPr>
          <w:p w14:paraId="2132350B"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Placa de cultivo, 48</w:t>
            </w:r>
          </w:p>
        </w:tc>
        <w:tc>
          <w:tcPr>
            <w:tcW w:w="0" w:type="auto"/>
            <w:shd w:val="clear" w:color="F7CAAC" w:fill="FFFFFF"/>
            <w:vAlign w:val="center"/>
            <w:hideMark/>
          </w:tcPr>
          <w:p w14:paraId="1E29B1ED"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Placa de cultivo, 48, transparente, fondo plano, estéril</w:t>
            </w:r>
          </w:p>
        </w:tc>
        <w:tc>
          <w:tcPr>
            <w:tcW w:w="0" w:type="auto"/>
            <w:shd w:val="clear" w:color="F7CAAC" w:fill="FFFFFF"/>
            <w:vAlign w:val="center"/>
            <w:hideMark/>
          </w:tcPr>
          <w:p w14:paraId="409B9D26"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50</w:t>
            </w:r>
          </w:p>
        </w:tc>
        <w:tc>
          <w:tcPr>
            <w:tcW w:w="0" w:type="auto"/>
            <w:shd w:val="clear" w:color="F7CAAC" w:fill="FFFFFF"/>
            <w:vAlign w:val="center"/>
            <w:hideMark/>
          </w:tcPr>
          <w:p w14:paraId="2CE8A2A8"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73B4D76D"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7BB96CF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15.000 </w:t>
            </w:r>
          </w:p>
        </w:tc>
        <w:tc>
          <w:tcPr>
            <w:tcW w:w="0" w:type="auto"/>
            <w:shd w:val="clear" w:color="F7CAAC" w:fill="FFFFFF"/>
            <w:vAlign w:val="center"/>
            <w:hideMark/>
          </w:tcPr>
          <w:p w14:paraId="1396A0BE"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750.000 </w:t>
            </w:r>
          </w:p>
        </w:tc>
      </w:tr>
      <w:tr w:rsidR="00FC186A" w:rsidRPr="00FC186A" w14:paraId="4DDC6159" w14:textId="77777777" w:rsidTr="00FC186A">
        <w:trPr>
          <w:trHeight w:val="555"/>
        </w:trPr>
        <w:tc>
          <w:tcPr>
            <w:tcW w:w="0" w:type="auto"/>
            <w:shd w:val="clear" w:color="F7CAAC" w:fill="FFFFFF"/>
            <w:vAlign w:val="center"/>
            <w:hideMark/>
          </w:tcPr>
          <w:p w14:paraId="0DB27D23"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6</w:t>
            </w:r>
          </w:p>
        </w:tc>
        <w:tc>
          <w:tcPr>
            <w:tcW w:w="0" w:type="auto"/>
            <w:shd w:val="clear" w:color="F7CAAC" w:fill="FFFFFF"/>
            <w:vAlign w:val="center"/>
            <w:hideMark/>
          </w:tcPr>
          <w:p w14:paraId="13776323"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Placa de cultivo, 24</w:t>
            </w:r>
          </w:p>
        </w:tc>
        <w:tc>
          <w:tcPr>
            <w:tcW w:w="0" w:type="auto"/>
            <w:shd w:val="clear" w:color="F7CAAC" w:fill="FFFFFF"/>
            <w:vAlign w:val="center"/>
            <w:hideMark/>
          </w:tcPr>
          <w:p w14:paraId="6622EAC3"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placa de cultivo, 24, transparente, fondo plano, estéril</w:t>
            </w:r>
          </w:p>
        </w:tc>
        <w:tc>
          <w:tcPr>
            <w:tcW w:w="0" w:type="auto"/>
            <w:shd w:val="clear" w:color="F7CAAC" w:fill="FFFFFF"/>
            <w:vAlign w:val="center"/>
            <w:hideMark/>
          </w:tcPr>
          <w:p w14:paraId="64952BC1"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10</w:t>
            </w:r>
          </w:p>
        </w:tc>
        <w:tc>
          <w:tcPr>
            <w:tcW w:w="0" w:type="auto"/>
            <w:shd w:val="clear" w:color="F7CAAC" w:fill="FFFFFF"/>
            <w:vAlign w:val="center"/>
            <w:hideMark/>
          </w:tcPr>
          <w:p w14:paraId="49BC810D"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5FAFA5D0"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70791173"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12.500 </w:t>
            </w:r>
          </w:p>
        </w:tc>
        <w:tc>
          <w:tcPr>
            <w:tcW w:w="0" w:type="auto"/>
            <w:shd w:val="clear" w:color="F7CAAC" w:fill="FFFFFF"/>
            <w:vAlign w:val="center"/>
            <w:hideMark/>
          </w:tcPr>
          <w:p w14:paraId="6F9F506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125.000 </w:t>
            </w:r>
          </w:p>
        </w:tc>
      </w:tr>
    </w:tbl>
    <w:p w14:paraId="33AF4926" w14:textId="66961224" w:rsidR="00697F7F" w:rsidRDefault="00697F7F" w:rsidP="007943B8">
      <w:pPr>
        <w:pStyle w:val="Tablaconcuadrcula"/>
        <w:pBdr>
          <w:bottom w:val="single" w:sz="4" w:space="1" w:color="auto"/>
        </w:pBdr>
        <w:tabs>
          <w:tab w:val="left" w:pos="284"/>
        </w:tabs>
        <w:spacing w:line="276" w:lineRule="auto"/>
        <w:jc w:val="both"/>
        <w:rPr>
          <w:rFonts w:asciiTheme="majorHAnsi" w:hAnsiTheme="majorHAnsi" w:cstheme="majorHAnsi"/>
          <w:sz w:val="22"/>
          <w:szCs w:val="22"/>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9"/>
        <w:gridCol w:w="1481"/>
        <w:gridCol w:w="3038"/>
        <w:gridCol w:w="735"/>
        <w:gridCol w:w="651"/>
        <w:gridCol w:w="1006"/>
        <w:gridCol w:w="890"/>
        <w:gridCol w:w="890"/>
      </w:tblGrid>
      <w:tr w:rsidR="00FC186A" w:rsidRPr="00FC186A" w14:paraId="2E121D97" w14:textId="77777777" w:rsidTr="00E627AD">
        <w:trPr>
          <w:trHeight w:val="1005"/>
          <w:tblHeader/>
        </w:trPr>
        <w:tc>
          <w:tcPr>
            <w:tcW w:w="5000" w:type="pct"/>
            <w:gridSpan w:val="8"/>
            <w:shd w:val="clear" w:color="auto" w:fill="5B9BD5" w:themeFill="accent1"/>
            <w:vAlign w:val="center"/>
          </w:tcPr>
          <w:p w14:paraId="291BE44D"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Proyecto UNESCO/OWSD</w:t>
            </w:r>
          </w:p>
        </w:tc>
      </w:tr>
      <w:tr w:rsidR="00FC186A" w:rsidRPr="00FC186A" w14:paraId="099B4697" w14:textId="77777777" w:rsidTr="00E627AD">
        <w:trPr>
          <w:trHeight w:val="1005"/>
          <w:tblHeader/>
        </w:trPr>
        <w:tc>
          <w:tcPr>
            <w:tcW w:w="247" w:type="pct"/>
            <w:shd w:val="clear" w:color="auto" w:fill="5B9BD5" w:themeFill="accent1"/>
            <w:vAlign w:val="center"/>
            <w:hideMark/>
          </w:tcPr>
          <w:p w14:paraId="0805E581"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Ítem N°</w:t>
            </w:r>
          </w:p>
        </w:tc>
        <w:tc>
          <w:tcPr>
            <w:tcW w:w="809" w:type="pct"/>
            <w:shd w:val="clear" w:color="auto" w:fill="5B9BD5" w:themeFill="accent1"/>
            <w:vAlign w:val="center"/>
            <w:hideMark/>
          </w:tcPr>
          <w:p w14:paraId="65422974" w14:textId="77777777" w:rsidR="00FC186A" w:rsidRPr="00FC186A" w:rsidRDefault="00FC186A" w:rsidP="00FC186A">
            <w:pPr>
              <w:spacing w:after="0" w:line="240" w:lineRule="auto"/>
              <w:rPr>
                <w:rFonts w:eastAsia="Times New Roman" w:cs="Calibri"/>
                <w:b/>
                <w:bCs/>
                <w:color w:val="000000"/>
                <w:sz w:val="16"/>
                <w:szCs w:val="16"/>
                <w:lang w:eastAsia="es-PY"/>
              </w:rPr>
            </w:pPr>
            <w:r w:rsidRPr="00FC186A">
              <w:rPr>
                <w:rFonts w:eastAsia="Times New Roman" w:cs="Calibri"/>
                <w:b/>
                <w:bCs/>
                <w:color w:val="000000"/>
                <w:sz w:val="16"/>
                <w:szCs w:val="16"/>
                <w:lang w:eastAsia="es-PY"/>
              </w:rPr>
              <w:t>Descripción del bien</w:t>
            </w:r>
          </w:p>
        </w:tc>
        <w:tc>
          <w:tcPr>
            <w:tcW w:w="1655" w:type="pct"/>
            <w:shd w:val="clear" w:color="auto" w:fill="5B9BD5" w:themeFill="accent1"/>
            <w:vAlign w:val="center"/>
            <w:hideMark/>
          </w:tcPr>
          <w:p w14:paraId="363D2BB2" w14:textId="77777777" w:rsidR="00FC186A" w:rsidRPr="00FC186A" w:rsidRDefault="00FC186A" w:rsidP="00FC186A">
            <w:pPr>
              <w:spacing w:after="0" w:line="240" w:lineRule="auto"/>
              <w:rPr>
                <w:rFonts w:eastAsia="Times New Roman" w:cs="Calibri"/>
                <w:b/>
                <w:bCs/>
                <w:color w:val="000000"/>
                <w:sz w:val="16"/>
                <w:szCs w:val="16"/>
                <w:lang w:eastAsia="es-PY"/>
              </w:rPr>
            </w:pPr>
            <w:r w:rsidRPr="00FC186A">
              <w:rPr>
                <w:rFonts w:eastAsia="Times New Roman" w:cs="Calibri"/>
                <w:b/>
                <w:bCs/>
                <w:color w:val="000000"/>
                <w:sz w:val="16"/>
                <w:szCs w:val="16"/>
                <w:lang w:eastAsia="es-PY"/>
              </w:rPr>
              <w:t>Especificaciones Técnicas</w:t>
            </w:r>
          </w:p>
        </w:tc>
        <w:tc>
          <w:tcPr>
            <w:tcW w:w="403" w:type="pct"/>
            <w:shd w:val="clear" w:color="auto" w:fill="5B9BD5" w:themeFill="accent1"/>
            <w:noWrap/>
            <w:vAlign w:val="center"/>
            <w:hideMark/>
          </w:tcPr>
          <w:p w14:paraId="63C21C5C"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Cantidad</w:t>
            </w:r>
          </w:p>
        </w:tc>
        <w:tc>
          <w:tcPr>
            <w:tcW w:w="357" w:type="pct"/>
            <w:shd w:val="clear" w:color="auto" w:fill="5B9BD5" w:themeFill="accent1"/>
            <w:vAlign w:val="center"/>
            <w:hideMark/>
          </w:tcPr>
          <w:p w14:paraId="28C6E751"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Unidad de Medida</w:t>
            </w:r>
          </w:p>
        </w:tc>
        <w:tc>
          <w:tcPr>
            <w:tcW w:w="550" w:type="pct"/>
            <w:shd w:val="clear" w:color="auto" w:fill="5B9BD5" w:themeFill="accent1"/>
            <w:vAlign w:val="center"/>
            <w:hideMark/>
          </w:tcPr>
          <w:p w14:paraId="71A4C57F"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Presentación</w:t>
            </w:r>
          </w:p>
        </w:tc>
        <w:tc>
          <w:tcPr>
            <w:tcW w:w="487" w:type="pct"/>
            <w:shd w:val="clear" w:color="auto" w:fill="5B9BD5" w:themeFill="accent1"/>
            <w:vAlign w:val="center"/>
            <w:hideMark/>
          </w:tcPr>
          <w:p w14:paraId="59398662"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 Precio Unitario Referencial (IVA INCLUIDO) </w:t>
            </w:r>
          </w:p>
        </w:tc>
        <w:tc>
          <w:tcPr>
            <w:tcW w:w="487" w:type="pct"/>
            <w:shd w:val="clear" w:color="auto" w:fill="5B9BD5" w:themeFill="accent1"/>
            <w:vAlign w:val="center"/>
            <w:hideMark/>
          </w:tcPr>
          <w:p w14:paraId="0EE53126"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 Precio Total Referencial (IVA INCLUIDO) </w:t>
            </w:r>
          </w:p>
        </w:tc>
      </w:tr>
      <w:tr w:rsidR="00FC186A" w:rsidRPr="00FC186A" w14:paraId="6188F68A" w14:textId="77777777" w:rsidTr="00E627AD">
        <w:trPr>
          <w:trHeight w:val="1365"/>
        </w:trPr>
        <w:tc>
          <w:tcPr>
            <w:tcW w:w="247" w:type="pct"/>
            <w:vAlign w:val="center"/>
            <w:hideMark/>
          </w:tcPr>
          <w:p w14:paraId="24EFC2C8" w14:textId="422394A3"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7</w:t>
            </w:r>
          </w:p>
        </w:tc>
        <w:tc>
          <w:tcPr>
            <w:tcW w:w="809" w:type="pct"/>
            <w:vAlign w:val="center"/>
            <w:hideMark/>
          </w:tcPr>
          <w:p w14:paraId="1D1047C7"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Placas para cultivo celular de superficie no tratada, esteriles de 6 pocillos</w:t>
            </w:r>
          </w:p>
        </w:tc>
        <w:tc>
          <w:tcPr>
            <w:tcW w:w="1655" w:type="pct"/>
            <w:vAlign w:val="center"/>
            <w:hideMark/>
          </w:tcPr>
          <w:p w14:paraId="149E5DF6"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6 pocillos. Orificio redondo. Fondo redondo. Poliestireno USP Clase 6. Sin DNasa, sin RNasa, apirógeno, sin endotoxinas, sin citotoxicidad. Esterilizado por irradiación, SAL-10-6. Paquete individual, estéril. Con Tapa.</w:t>
            </w:r>
          </w:p>
        </w:tc>
        <w:tc>
          <w:tcPr>
            <w:tcW w:w="403" w:type="pct"/>
            <w:noWrap/>
            <w:vAlign w:val="center"/>
            <w:hideMark/>
          </w:tcPr>
          <w:p w14:paraId="1A87507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100</w:t>
            </w:r>
          </w:p>
        </w:tc>
        <w:tc>
          <w:tcPr>
            <w:tcW w:w="357" w:type="pct"/>
            <w:vAlign w:val="center"/>
            <w:hideMark/>
          </w:tcPr>
          <w:p w14:paraId="5427354E"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7F34DB22"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paquete </w:t>
            </w:r>
          </w:p>
        </w:tc>
        <w:tc>
          <w:tcPr>
            <w:tcW w:w="487" w:type="pct"/>
            <w:vAlign w:val="center"/>
            <w:hideMark/>
          </w:tcPr>
          <w:p w14:paraId="29C7937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18.000 </w:t>
            </w:r>
          </w:p>
        </w:tc>
        <w:tc>
          <w:tcPr>
            <w:tcW w:w="487" w:type="pct"/>
            <w:vAlign w:val="center"/>
            <w:hideMark/>
          </w:tcPr>
          <w:p w14:paraId="687166FD"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1.800.000 </w:t>
            </w:r>
          </w:p>
        </w:tc>
      </w:tr>
      <w:tr w:rsidR="00FC186A" w:rsidRPr="00FC186A" w14:paraId="6447ECDA" w14:textId="77777777" w:rsidTr="00E627AD">
        <w:trPr>
          <w:trHeight w:val="825"/>
        </w:trPr>
        <w:tc>
          <w:tcPr>
            <w:tcW w:w="247" w:type="pct"/>
            <w:vAlign w:val="center"/>
            <w:hideMark/>
          </w:tcPr>
          <w:p w14:paraId="5E66E4EC" w14:textId="1E5409E4"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8</w:t>
            </w:r>
          </w:p>
        </w:tc>
        <w:tc>
          <w:tcPr>
            <w:tcW w:w="809" w:type="pct"/>
            <w:vAlign w:val="center"/>
            <w:hideMark/>
          </w:tcPr>
          <w:p w14:paraId="2C6914F1"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Punta de micropipeta de 0.1 a 10 uL </w:t>
            </w:r>
          </w:p>
        </w:tc>
        <w:tc>
          <w:tcPr>
            <w:tcW w:w="1655" w:type="pct"/>
            <w:vAlign w:val="center"/>
            <w:hideMark/>
          </w:tcPr>
          <w:p w14:paraId="565527E8"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Sin filtro libre de rnase, dnase, dna y pirogenos. Bolsa por 1000 unidades </w:t>
            </w:r>
          </w:p>
        </w:tc>
        <w:tc>
          <w:tcPr>
            <w:tcW w:w="403" w:type="pct"/>
            <w:noWrap/>
            <w:vAlign w:val="center"/>
            <w:hideMark/>
          </w:tcPr>
          <w:p w14:paraId="1BE8DEA1"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10</w:t>
            </w:r>
          </w:p>
        </w:tc>
        <w:tc>
          <w:tcPr>
            <w:tcW w:w="357" w:type="pct"/>
            <w:vAlign w:val="center"/>
            <w:hideMark/>
          </w:tcPr>
          <w:p w14:paraId="4FB176D1"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66280FD5"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bolsa</w:t>
            </w:r>
          </w:p>
        </w:tc>
        <w:tc>
          <w:tcPr>
            <w:tcW w:w="487" w:type="pct"/>
            <w:vAlign w:val="center"/>
            <w:hideMark/>
          </w:tcPr>
          <w:p w14:paraId="29F44B6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35.000 </w:t>
            </w:r>
          </w:p>
        </w:tc>
        <w:tc>
          <w:tcPr>
            <w:tcW w:w="487" w:type="pct"/>
            <w:vAlign w:val="center"/>
            <w:hideMark/>
          </w:tcPr>
          <w:p w14:paraId="1BFD6CE9"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350.000 </w:t>
            </w:r>
          </w:p>
        </w:tc>
      </w:tr>
      <w:tr w:rsidR="00FC186A" w:rsidRPr="00FC186A" w14:paraId="30F0ECAB" w14:textId="77777777" w:rsidTr="00E627AD">
        <w:trPr>
          <w:trHeight w:val="1050"/>
        </w:trPr>
        <w:tc>
          <w:tcPr>
            <w:tcW w:w="247" w:type="pct"/>
            <w:vAlign w:val="center"/>
            <w:hideMark/>
          </w:tcPr>
          <w:p w14:paraId="3656489A" w14:textId="024012AD"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9</w:t>
            </w:r>
          </w:p>
        </w:tc>
        <w:tc>
          <w:tcPr>
            <w:tcW w:w="809" w:type="pct"/>
            <w:vAlign w:val="center"/>
            <w:hideMark/>
          </w:tcPr>
          <w:p w14:paraId="272C1AE2"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Punta de micropipeta de 10 a 200 uL </w:t>
            </w:r>
          </w:p>
        </w:tc>
        <w:tc>
          <w:tcPr>
            <w:tcW w:w="1655" w:type="pct"/>
            <w:vAlign w:val="center"/>
            <w:hideMark/>
          </w:tcPr>
          <w:p w14:paraId="621008E5"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Sin filtro libre de rnase, dnase, dna y pirogenos. Bolsa por 1000 unidades </w:t>
            </w:r>
          </w:p>
        </w:tc>
        <w:tc>
          <w:tcPr>
            <w:tcW w:w="403" w:type="pct"/>
            <w:noWrap/>
            <w:vAlign w:val="center"/>
            <w:hideMark/>
          </w:tcPr>
          <w:p w14:paraId="1C322D42"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10</w:t>
            </w:r>
          </w:p>
        </w:tc>
        <w:tc>
          <w:tcPr>
            <w:tcW w:w="357" w:type="pct"/>
            <w:vAlign w:val="center"/>
            <w:hideMark/>
          </w:tcPr>
          <w:p w14:paraId="4BFEFE50"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106F2BE4"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487" w:type="pct"/>
            <w:vAlign w:val="center"/>
            <w:hideMark/>
          </w:tcPr>
          <w:p w14:paraId="13F381B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35.000 </w:t>
            </w:r>
          </w:p>
        </w:tc>
        <w:tc>
          <w:tcPr>
            <w:tcW w:w="487" w:type="pct"/>
            <w:vAlign w:val="center"/>
            <w:hideMark/>
          </w:tcPr>
          <w:p w14:paraId="7FC48360"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350.000 </w:t>
            </w:r>
          </w:p>
        </w:tc>
      </w:tr>
      <w:tr w:rsidR="00FC186A" w:rsidRPr="00FC186A" w14:paraId="57705758" w14:textId="77777777" w:rsidTr="00E627AD">
        <w:trPr>
          <w:trHeight w:val="855"/>
        </w:trPr>
        <w:tc>
          <w:tcPr>
            <w:tcW w:w="247" w:type="pct"/>
            <w:vAlign w:val="center"/>
            <w:hideMark/>
          </w:tcPr>
          <w:p w14:paraId="25B41A17" w14:textId="1AFAD3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lastRenderedPageBreak/>
              <w:t>10</w:t>
            </w:r>
          </w:p>
        </w:tc>
        <w:tc>
          <w:tcPr>
            <w:tcW w:w="809" w:type="pct"/>
            <w:vAlign w:val="center"/>
            <w:hideMark/>
          </w:tcPr>
          <w:p w14:paraId="0959A027"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Punta de micropipeta de 100 a 1000 uL </w:t>
            </w:r>
          </w:p>
        </w:tc>
        <w:tc>
          <w:tcPr>
            <w:tcW w:w="1655" w:type="pct"/>
            <w:vAlign w:val="center"/>
            <w:hideMark/>
          </w:tcPr>
          <w:p w14:paraId="4E61A9B2"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Sin filtro libre de rnase, dnase, dna y pirogenos. Bolsa por 1000 unidades </w:t>
            </w:r>
          </w:p>
        </w:tc>
        <w:tc>
          <w:tcPr>
            <w:tcW w:w="403" w:type="pct"/>
            <w:noWrap/>
            <w:vAlign w:val="center"/>
            <w:hideMark/>
          </w:tcPr>
          <w:p w14:paraId="13B7EDF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10</w:t>
            </w:r>
          </w:p>
        </w:tc>
        <w:tc>
          <w:tcPr>
            <w:tcW w:w="357" w:type="pct"/>
            <w:vAlign w:val="center"/>
            <w:hideMark/>
          </w:tcPr>
          <w:p w14:paraId="12316145"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0B6D588E"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487" w:type="pct"/>
            <w:vAlign w:val="center"/>
            <w:hideMark/>
          </w:tcPr>
          <w:p w14:paraId="7CEAF3CF"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121.000 </w:t>
            </w:r>
          </w:p>
        </w:tc>
        <w:tc>
          <w:tcPr>
            <w:tcW w:w="487" w:type="pct"/>
            <w:vAlign w:val="center"/>
            <w:hideMark/>
          </w:tcPr>
          <w:p w14:paraId="5C983D31"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1.210.000 </w:t>
            </w:r>
          </w:p>
        </w:tc>
      </w:tr>
      <w:tr w:rsidR="00FC186A" w:rsidRPr="00FC186A" w14:paraId="5010D1D6" w14:textId="77777777" w:rsidTr="00E627AD">
        <w:trPr>
          <w:trHeight w:val="552"/>
        </w:trPr>
        <w:tc>
          <w:tcPr>
            <w:tcW w:w="247" w:type="pct"/>
            <w:vAlign w:val="center"/>
            <w:hideMark/>
          </w:tcPr>
          <w:p w14:paraId="0BD39CF2" w14:textId="1E586C4A"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11</w:t>
            </w:r>
          </w:p>
        </w:tc>
        <w:tc>
          <w:tcPr>
            <w:tcW w:w="809" w:type="pct"/>
            <w:vAlign w:val="center"/>
            <w:hideMark/>
          </w:tcPr>
          <w:p w14:paraId="50389873"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Frasco esteriles de 150 mL</w:t>
            </w:r>
          </w:p>
        </w:tc>
        <w:tc>
          <w:tcPr>
            <w:tcW w:w="1655" w:type="pct"/>
            <w:vAlign w:val="center"/>
            <w:hideMark/>
          </w:tcPr>
          <w:p w14:paraId="263D57E2"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De plástico con tapa rosca, con embalaje individual. Caja de 1000 unidades </w:t>
            </w:r>
          </w:p>
        </w:tc>
        <w:tc>
          <w:tcPr>
            <w:tcW w:w="403" w:type="pct"/>
            <w:noWrap/>
            <w:vAlign w:val="center"/>
            <w:hideMark/>
          </w:tcPr>
          <w:p w14:paraId="1A61465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357" w:type="pct"/>
            <w:vAlign w:val="center"/>
            <w:hideMark/>
          </w:tcPr>
          <w:p w14:paraId="20D4CEF4"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1F141B78"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caja</w:t>
            </w:r>
          </w:p>
        </w:tc>
        <w:tc>
          <w:tcPr>
            <w:tcW w:w="487" w:type="pct"/>
            <w:vAlign w:val="center"/>
            <w:hideMark/>
          </w:tcPr>
          <w:p w14:paraId="616E803E"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2.100.000 </w:t>
            </w:r>
          </w:p>
        </w:tc>
        <w:tc>
          <w:tcPr>
            <w:tcW w:w="487" w:type="pct"/>
            <w:vAlign w:val="center"/>
            <w:hideMark/>
          </w:tcPr>
          <w:p w14:paraId="673AA675"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2.100.000 </w:t>
            </w:r>
          </w:p>
        </w:tc>
      </w:tr>
      <w:tr w:rsidR="00FC186A" w:rsidRPr="00FC186A" w14:paraId="398AB827" w14:textId="77777777" w:rsidTr="00E627AD">
        <w:trPr>
          <w:trHeight w:val="552"/>
        </w:trPr>
        <w:tc>
          <w:tcPr>
            <w:tcW w:w="247" w:type="pct"/>
            <w:vAlign w:val="center"/>
            <w:hideMark/>
          </w:tcPr>
          <w:p w14:paraId="304ED7D5" w14:textId="2D170791"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12</w:t>
            </w:r>
          </w:p>
        </w:tc>
        <w:tc>
          <w:tcPr>
            <w:tcW w:w="809" w:type="pct"/>
            <w:vAlign w:val="center"/>
            <w:hideMark/>
          </w:tcPr>
          <w:p w14:paraId="5BBADF18"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Micropipetas 2-20uL</w:t>
            </w:r>
          </w:p>
        </w:tc>
        <w:tc>
          <w:tcPr>
            <w:tcW w:w="1655" w:type="pct"/>
            <w:noWrap/>
            <w:vAlign w:val="center"/>
            <w:hideMark/>
          </w:tcPr>
          <w:p w14:paraId="2B0D77F5"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Rango de volumen regulable de 2-20 uL </w:t>
            </w:r>
          </w:p>
        </w:tc>
        <w:tc>
          <w:tcPr>
            <w:tcW w:w="403" w:type="pct"/>
            <w:noWrap/>
            <w:vAlign w:val="center"/>
            <w:hideMark/>
          </w:tcPr>
          <w:p w14:paraId="3EBFBC7C"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357" w:type="pct"/>
            <w:vAlign w:val="center"/>
            <w:hideMark/>
          </w:tcPr>
          <w:p w14:paraId="5CAEA9A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33AF45E2"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487" w:type="pct"/>
            <w:vAlign w:val="center"/>
            <w:hideMark/>
          </w:tcPr>
          <w:p w14:paraId="6618BD40"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650.000 </w:t>
            </w:r>
          </w:p>
        </w:tc>
        <w:tc>
          <w:tcPr>
            <w:tcW w:w="487" w:type="pct"/>
            <w:vAlign w:val="center"/>
            <w:hideMark/>
          </w:tcPr>
          <w:p w14:paraId="5E212B65"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650.000 </w:t>
            </w:r>
          </w:p>
        </w:tc>
      </w:tr>
      <w:tr w:rsidR="00FC186A" w:rsidRPr="00FC186A" w14:paraId="31F823B1" w14:textId="77777777" w:rsidTr="00E627AD">
        <w:trPr>
          <w:trHeight w:val="552"/>
        </w:trPr>
        <w:tc>
          <w:tcPr>
            <w:tcW w:w="247" w:type="pct"/>
            <w:vAlign w:val="center"/>
            <w:hideMark/>
          </w:tcPr>
          <w:p w14:paraId="19C790AE" w14:textId="33E01690"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13</w:t>
            </w:r>
          </w:p>
        </w:tc>
        <w:tc>
          <w:tcPr>
            <w:tcW w:w="809" w:type="pct"/>
            <w:vAlign w:val="center"/>
            <w:hideMark/>
          </w:tcPr>
          <w:p w14:paraId="180614E4"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Micropipetas 20-200uL</w:t>
            </w:r>
          </w:p>
        </w:tc>
        <w:tc>
          <w:tcPr>
            <w:tcW w:w="1655" w:type="pct"/>
            <w:vAlign w:val="center"/>
            <w:hideMark/>
          </w:tcPr>
          <w:p w14:paraId="3C5C32B7"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Rango de volumen regulable de 20-200 uL </w:t>
            </w:r>
          </w:p>
        </w:tc>
        <w:tc>
          <w:tcPr>
            <w:tcW w:w="403" w:type="pct"/>
            <w:noWrap/>
            <w:vAlign w:val="center"/>
            <w:hideMark/>
          </w:tcPr>
          <w:p w14:paraId="38125FB0"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357" w:type="pct"/>
            <w:vAlign w:val="center"/>
            <w:hideMark/>
          </w:tcPr>
          <w:p w14:paraId="33EDA82C"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3F597388"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487" w:type="pct"/>
            <w:vAlign w:val="center"/>
            <w:hideMark/>
          </w:tcPr>
          <w:p w14:paraId="65B1F030"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650.000 </w:t>
            </w:r>
          </w:p>
        </w:tc>
        <w:tc>
          <w:tcPr>
            <w:tcW w:w="487" w:type="pct"/>
            <w:vAlign w:val="center"/>
            <w:hideMark/>
          </w:tcPr>
          <w:p w14:paraId="76583BB9"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650.000 </w:t>
            </w:r>
          </w:p>
        </w:tc>
      </w:tr>
      <w:tr w:rsidR="00FC186A" w:rsidRPr="00FC186A" w14:paraId="05741600" w14:textId="77777777" w:rsidTr="00E627AD">
        <w:trPr>
          <w:trHeight w:val="552"/>
        </w:trPr>
        <w:tc>
          <w:tcPr>
            <w:tcW w:w="247" w:type="pct"/>
            <w:vAlign w:val="center"/>
            <w:hideMark/>
          </w:tcPr>
          <w:p w14:paraId="177DFDF7" w14:textId="28BE9E5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14</w:t>
            </w:r>
          </w:p>
        </w:tc>
        <w:tc>
          <w:tcPr>
            <w:tcW w:w="809" w:type="pct"/>
            <w:vAlign w:val="center"/>
            <w:hideMark/>
          </w:tcPr>
          <w:p w14:paraId="5784BD34"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Micropipetas 100-1000uL</w:t>
            </w:r>
          </w:p>
        </w:tc>
        <w:tc>
          <w:tcPr>
            <w:tcW w:w="1655" w:type="pct"/>
            <w:noWrap/>
            <w:vAlign w:val="center"/>
            <w:hideMark/>
          </w:tcPr>
          <w:p w14:paraId="1A5B50E1"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Rango de volumen regulable de 100-1000 uL </w:t>
            </w:r>
          </w:p>
        </w:tc>
        <w:tc>
          <w:tcPr>
            <w:tcW w:w="403" w:type="pct"/>
            <w:shd w:val="clear" w:color="FFFFFF" w:fill="FFFFFF"/>
            <w:vAlign w:val="center"/>
            <w:hideMark/>
          </w:tcPr>
          <w:p w14:paraId="3C3A8B2D"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357" w:type="pct"/>
            <w:vAlign w:val="center"/>
            <w:hideMark/>
          </w:tcPr>
          <w:p w14:paraId="2CFA031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0E5600C6"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487" w:type="pct"/>
            <w:vAlign w:val="center"/>
            <w:hideMark/>
          </w:tcPr>
          <w:p w14:paraId="146856DE"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650.000 </w:t>
            </w:r>
          </w:p>
        </w:tc>
        <w:tc>
          <w:tcPr>
            <w:tcW w:w="487" w:type="pct"/>
            <w:vAlign w:val="center"/>
            <w:hideMark/>
          </w:tcPr>
          <w:p w14:paraId="01D93933"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650.000 </w:t>
            </w:r>
          </w:p>
        </w:tc>
      </w:tr>
      <w:tr w:rsidR="00FC186A" w:rsidRPr="00FC186A" w14:paraId="40D86FAC" w14:textId="77777777" w:rsidTr="00E627AD">
        <w:trPr>
          <w:trHeight w:val="810"/>
        </w:trPr>
        <w:tc>
          <w:tcPr>
            <w:tcW w:w="247" w:type="pct"/>
            <w:vAlign w:val="center"/>
            <w:hideMark/>
          </w:tcPr>
          <w:p w14:paraId="517CA185" w14:textId="6422FC1F"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15</w:t>
            </w:r>
          </w:p>
        </w:tc>
        <w:tc>
          <w:tcPr>
            <w:tcW w:w="809" w:type="pct"/>
            <w:vAlign w:val="center"/>
            <w:hideMark/>
          </w:tcPr>
          <w:p w14:paraId="354D3988"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Bromuro de potasio </w:t>
            </w:r>
          </w:p>
        </w:tc>
        <w:tc>
          <w:tcPr>
            <w:tcW w:w="1655" w:type="pct"/>
            <w:vAlign w:val="center"/>
            <w:hideMark/>
          </w:tcPr>
          <w:p w14:paraId="6EA4F93C"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Calidad FTIR (infrarrojo), frasco por 500 gramos </w:t>
            </w:r>
          </w:p>
        </w:tc>
        <w:tc>
          <w:tcPr>
            <w:tcW w:w="403" w:type="pct"/>
            <w:noWrap/>
            <w:vAlign w:val="center"/>
            <w:hideMark/>
          </w:tcPr>
          <w:p w14:paraId="49FA630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357" w:type="pct"/>
            <w:vAlign w:val="center"/>
            <w:hideMark/>
          </w:tcPr>
          <w:p w14:paraId="25B6545F"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5ECF7CE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frasco</w:t>
            </w:r>
          </w:p>
        </w:tc>
        <w:tc>
          <w:tcPr>
            <w:tcW w:w="487" w:type="pct"/>
            <w:vAlign w:val="center"/>
            <w:hideMark/>
          </w:tcPr>
          <w:p w14:paraId="58F79331"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4.130.000 </w:t>
            </w:r>
          </w:p>
        </w:tc>
        <w:tc>
          <w:tcPr>
            <w:tcW w:w="487" w:type="pct"/>
            <w:vAlign w:val="center"/>
            <w:hideMark/>
          </w:tcPr>
          <w:p w14:paraId="2CD6A082"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4.130.000 </w:t>
            </w:r>
          </w:p>
        </w:tc>
      </w:tr>
      <w:tr w:rsidR="00FC186A" w:rsidRPr="00FC186A" w14:paraId="64FB13BF" w14:textId="77777777" w:rsidTr="00E627AD">
        <w:trPr>
          <w:trHeight w:val="810"/>
        </w:trPr>
        <w:tc>
          <w:tcPr>
            <w:tcW w:w="247" w:type="pct"/>
            <w:vAlign w:val="center"/>
            <w:hideMark/>
          </w:tcPr>
          <w:p w14:paraId="4A40E829" w14:textId="028FE1B0"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16</w:t>
            </w:r>
          </w:p>
        </w:tc>
        <w:tc>
          <w:tcPr>
            <w:tcW w:w="809" w:type="pct"/>
            <w:noWrap/>
            <w:vAlign w:val="center"/>
            <w:hideMark/>
          </w:tcPr>
          <w:p w14:paraId="37173C18"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Trifluoroacetico </w:t>
            </w:r>
          </w:p>
        </w:tc>
        <w:tc>
          <w:tcPr>
            <w:tcW w:w="1655" w:type="pct"/>
            <w:vAlign w:val="center"/>
            <w:hideMark/>
          </w:tcPr>
          <w:p w14:paraId="11693E56"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Frasco por 100 ml </w:t>
            </w:r>
          </w:p>
        </w:tc>
        <w:tc>
          <w:tcPr>
            <w:tcW w:w="403" w:type="pct"/>
            <w:noWrap/>
            <w:vAlign w:val="center"/>
            <w:hideMark/>
          </w:tcPr>
          <w:p w14:paraId="0D892603"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2</w:t>
            </w:r>
          </w:p>
        </w:tc>
        <w:tc>
          <w:tcPr>
            <w:tcW w:w="357" w:type="pct"/>
            <w:vAlign w:val="center"/>
            <w:hideMark/>
          </w:tcPr>
          <w:p w14:paraId="6184007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20133BC9"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frasco</w:t>
            </w:r>
          </w:p>
        </w:tc>
        <w:tc>
          <w:tcPr>
            <w:tcW w:w="487" w:type="pct"/>
            <w:vAlign w:val="center"/>
            <w:hideMark/>
          </w:tcPr>
          <w:p w14:paraId="1CE9645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1.500.000 </w:t>
            </w:r>
          </w:p>
        </w:tc>
        <w:tc>
          <w:tcPr>
            <w:tcW w:w="487" w:type="pct"/>
            <w:vAlign w:val="center"/>
            <w:hideMark/>
          </w:tcPr>
          <w:p w14:paraId="40BB1AAC"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3.000.000 </w:t>
            </w:r>
          </w:p>
        </w:tc>
      </w:tr>
      <w:tr w:rsidR="00FC186A" w:rsidRPr="00FC186A" w14:paraId="041EFF25" w14:textId="77777777" w:rsidTr="00E627AD">
        <w:trPr>
          <w:trHeight w:val="810"/>
        </w:trPr>
        <w:tc>
          <w:tcPr>
            <w:tcW w:w="247" w:type="pct"/>
            <w:vAlign w:val="center"/>
            <w:hideMark/>
          </w:tcPr>
          <w:p w14:paraId="0F31695F" w14:textId="604C4325"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17</w:t>
            </w:r>
          </w:p>
        </w:tc>
        <w:tc>
          <w:tcPr>
            <w:tcW w:w="809" w:type="pct"/>
            <w:vAlign w:val="center"/>
            <w:hideMark/>
          </w:tcPr>
          <w:p w14:paraId="75A412F6"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Ficoll</w:t>
            </w:r>
          </w:p>
        </w:tc>
        <w:tc>
          <w:tcPr>
            <w:tcW w:w="1655" w:type="pct"/>
            <w:noWrap/>
            <w:vAlign w:val="center"/>
            <w:hideMark/>
          </w:tcPr>
          <w:p w14:paraId="32786313"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Frasco por 100 mL</w:t>
            </w:r>
          </w:p>
        </w:tc>
        <w:tc>
          <w:tcPr>
            <w:tcW w:w="403" w:type="pct"/>
            <w:noWrap/>
            <w:vAlign w:val="center"/>
            <w:hideMark/>
          </w:tcPr>
          <w:p w14:paraId="4F7DA58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357" w:type="pct"/>
            <w:vAlign w:val="center"/>
            <w:hideMark/>
          </w:tcPr>
          <w:p w14:paraId="2244B6F1"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412AEF2D"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frasco</w:t>
            </w:r>
          </w:p>
        </w:tc>
        <w:tc>
          <w:tcPr>
            <w:tcW w:w="487" w:type="pct"/>
            <w:vAlign w:val="center"/>
            <w:hideMark/>
          </w:tcPr>
          <w:p w14:paraId="272670F5"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954.000 </w:t>
            </w:r>
          </w:p>
        </w:tc>
        <w:tc>
          <w:tcPr>
            <w:tcW w:w="487" w:type="pct"/>
            <w:vAlign w:val="center"/>
            <w:hideMark/>
          </w:tcPr>
          <w:p w14:paraId="08C83828"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954.000 </w:t>
            </w:r>
          </w:p>
        </w:tc>
      </w:tr>
      <w:tr w:rsidR="00FC186A" w:rsidRPr="00FC186A" w14:paraId="314E96B8" w14:textId="77777777" w:rsidTr="00E627AD">
        <w:trPr>
          <w:trHeight w:val="810"/>
        </w:trPr>
        <w:tc>
          <w:tcPr>
            <w:tcW w:w="247" w:type="pct"/>
            <w:vAlign w:val="center"/>
            <w:hideMark/>
          </w:tcPr>
          <w:p w14:paraId="342EF327" w14:textId="164C1798"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18</w:t>
            </w:r>
          </w:p>
        </w:tc>
        <w:tc>
          <w:tcPr>
            <w:tcW w:w="809" w:type="pct"/>
            <w:vAlign w:val="center"/>
            <w:hideMark/>
          </w:tcPr>
          <w:p w14:paraId="0832E84D"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Fitohemaglutinina </w:t>
            </w:r>
          </w:p>
        </w:tc>
        <w:tc>
          <w:tcPr>
            <w:tcW w:w="1655" w:type="pct"/>
            <w:vAlign w:val="center"/>
            <w:hideMark/>
          </w:tcPr>
          <w:p w14:paraId="2406903D"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Form M Liofilizado, Frasco 10 mL</w:t>
            </w:r>
          </w:p>
        </w:tc>
        <w:tc>
          <w:tcPr>
            <w:tcW w:w="403" w:type="pct"/>
            <w:noWrap/>
            <w:vAlign w:val="center"/>
            <w:hideMark/>
          </w:tcPr>
          <w:p w14:paraId="2AD84BD4"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357" w:type="pct"/>
            <w:vAlign w:val="center"/>
            <w:hideMark/>
          </w:tcPr>
          <w:p w14:paraId="46E1CB6C"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5F45CC0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frasco</w:t>
            </w:r>
          </w:p>
        </w:tc>
        <w:tc>
          <w:tcPr>
            <w:tcW w:w="487" w:type="pct"/>
            <w:vAlign w:val="center"/>
            <w:hideMark/>
          </w:tcPr>
          <w:p w14:paraId="13B1ABB9"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1.429.000 </w:t>
            </w:r>
          </w:p>
        </w:tc>
        <w:tc>
          <w:tcPr>
            <w:tcW w:w="487" w:type="pct"/>
            <w:vAlign w:val="center"/>
            <w:hideMark/>
          </w:tcPr>
          <w:p w14:paraId="22159700"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1.429.000 </w:t>
            </w:r>
          </w:p>
        </w:tc>
      </w:tr>
      <w:tr w:rsidR="00FC186A" w:rsidRPr="00FC186A" w14:paraId="7347F248" w14:textId="77777777" w:rsidTr="00E627AD">
        <w:trPr>
          <w:trHeight w:val="810"/>
        </w:trPr>
        <w:tc>
          <w:tcPr>
            <w:tcW w:w="247" w:type="pct"/>
            <w:vAlign w:val="center"/>
            <w:hideMark/>
          </w:tcPr>
          <w:p w14:paraId="2EF8E1C5" w14:textId="126A04A4"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19</w:t>
            </w:r>
          </w:p>
        </w:tc>
        <w:tc>
          <w:tcPr>
            <w:tcW w:w="809" w:type="pct"/>
            <w:vAlign w:val="center"/>
            <w:hideMark/>
          </w:tcPr>
          <w:p w14:paraId="1CF9FCA3"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AGAR DE DEXTROSA DE PATATA</w:t>
            </w:r>
          </w:p>
        </w:tc>
        <w:tc>
          <w:tcPr>
            <w:tcW w:w="1655" w:type="pct"/>
            <w:vAlign w:val="center"/>
            <w:hideMark/>
          </w:tcPr>
          <w:p w14:paraId="3D5DCA4A"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Frasco por 500 gramos </w:t>
            </w:r>
          </w:p>
        </w:tc>
        <w:tc>
          <w:tcPr>
            <w:tcW w:w="403" w:type="pct"/>
            <w:noWrap/>
            <w:vAlign w:val="center"/>
            <w:hideMark/>
          </w:tcPr>
          <w:p w14:paraId="522640E3"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2</w:t>
            </w:r>
          </w:p>
        </w:tc>
        <w:tc>
          <w:tcPr>
            <w:tcW w:w="357" w:type="pct"/>
            <w:vAlign w:val="center"/>
            <w:hideMark/>
          </w:tcPr>
          <w:p w14:paraId="209433A9"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708EA326"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frasco</w:t>
            </w:r>
          </w:p>
        </w:tc>
        <w:tc>
          <w:tcPr>
            <w:tcW w:w="487" w:type="pct"/>
            <w:vAlign w:val="center"/>
            <w:hideMark/>
          </w:tcPr>
          <w:p w14:paraId="2B15D0F5"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1.167.059 </w:t>
            </w:r>
          </w:p>
        </w:tc>
        <w:tc>
          <w:tcPr>
            <w:tcW w:w="487" w:type="pct"/>
            <w:vAlign w:val="center"/>
            <w:hideMark/>
          </w:tcPr>
          <w:p w14:paraId="7EFE0D0F"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2.334.118 </w:t>
            </w:r>
          </w:p>
        </w:tc>
      </w:tr>
      <w:tr w:rsidR="00FC186A" w:rsidRPr="00FC186A" w14:paraId="23217A54" w14:textId="77777777" w:rsidTr="00E627AD">
        <w:trPr>
          <w:trHeight w:val="810"/>
        </w:trPr>
        <w:tc>
          <w:tcPr>
            <w:tcW w:w="247" w:type="pct"/>
            <w:vAlign w:val="center"/>
            <w:hideMark/>
          </w:tcPr>
          <w:p w14:paraId="2A269B7C" w14:textId="16469C30"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20</w:t>
            </w:r>
          </w:p>
        </w:tc>
        <w:tc>
          <w:tcPr>
            <w:tcW w:w="809" w:type="pct"/>
            <w:vAlign w:val="center"/>
            <w:hideMark/>
          </w:tcPr>
          <w:p w14:paraId="2627AA1B"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SABOURAUD DEXTROSA AGAR</w:t>
            </w:r>
          </w:p>
        </w:tc>
        <w:tc>
          <w:tcPr>
            <w:tcW w:w="1655" w:type="pct"/>
            <w:vAlign w:val="center"/>
            <w:hideMark/>
          </w:tcPr>
          <w:p w14:paraId="5AB5A147"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Frasco por 500 gramos </w:t>
            </w:r>
          </w:p>
        </w:tc>
        <w:tc>
          <w:tcPr>
            <w:tcW w:w="403" w:type="pct"/>
            <w:noWrap/>
            <w:vAlign w:val="center"/>
            <w:hideMark/>
          </w:tcPr>
          <w:p w14:paraId="04F907F9"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2</w:t>
            </w:r>
          </w:p>
        </w:tc>
        <w:tc>
          <w:tcPr>
            <w:tcW w:w="357" w:type="pct"/>
            <w:vAlign w:val="center"/>
            <w:hideMark/>
          </w:tcPr>
          <w:p w14:paraId="60B39380"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 </w:t>
            </w:r>
          </w:p>
        </w:tc>
        <w:tc>
          <w:tcPr>
            <w:tcW w:w="550" w:type="pct"/>
            <w:vAlign w:val="center"/>
            <w:hideMark/>
          </w:tcPr>
          <w:p w14:paraId="642E909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frasco</w:t>
            </w:r>
          </w:p>
        </w:tc>
        <w:tc>
          <w:tcPr>
            <w:tcW w:w="487" w:type="pct"/>
            <w:vAlign w:val="center"/>
            <w:hideMark/>
          </w:tcPr>
          <w:p w14:paraId="696E74D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1.019.897 </w:t>
            </w:r>
          </w:p>
        </w:tc>
        <w:tc>
          <w:tcPr>
            <w:tcW w:w="487" w:type="pct"/>
            <w:vAlign w:val="center"/>
            <w:hideMark/>
          </w:tcPr>
          <w:p w14:paraId="4D85DAA3"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2.039.794 </w:t>
            </w:r>
          </w:p>
        </w:tc>
      </w:tr>
      <w:tr w:rsidR="00FC186A" w:rsidRPr="00FC186A" w14:paraId="33095498" w14:textId="77777777" w:rsidTr="00E627AD">
        <w:trPr>
          <w:trHeight w:val="810"/>
        </w:trPr>
        <w:tc>
          <w:tcPr>
            <w:tcW w:w="247" w:type="pct"/>
            <w:vAlign w:val="center"/>
            <w:hideMark/>
          </w:tcPr>
          <w:p w14:paraId="565EBD8F" w14:textId="27BAC08F"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21</w:t>
            </w:r>
          </w:p>
        </w:tc>
        <w:tc>
          <w:tcPr>
            <w:tcW w:w="809" w:type="pct"/>
            <w:vAlign w:val="center"/>
            <w:hideMark/>
          </w:tcPr>
          <w:p w14:paraId="0B9AF703"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Caldo de extracto de malta deshidratado</w:t>
            </w:r>
          </w:p>
        </w:tc>
        <w:tc>
          <w:tcPr>
            <w:tcW w:w="1655" w:type="pct"/>
            <w:vAlign w:val="center"/>
            <w:hideMark/>
          </w:tcPr>
          <w:p w14:paraId="5302DC52"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Frasco por 500 gramos </w:t>
            </w:r>
          </w:p>
        </w:tc>
        <w:tc>
          <w:tcPr>
            <w:tcW w:w="403" w:type="pct"/>
            <w:noWrap/>
            <w:vAlign w:val="center"/>
            <w:hideMark/>
          </w:tcPr>
          <w:p w14:paraId="2FCB126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2</w:t>
            </w:r>
          </w:p>
        </w:tc>
        <w:tc>
          <w:tcPr>
            <w:tcW w:w="357" w:type="pct"/>
            <w:vAlign w:val="center"/>
            <w:hideMark/>
          </w:tcPr>
          <w:p w14:paraId="1C8DC061"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0519FD3E"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frasco</w:t>
            </w:r>
          </w:p>
        </w:tc>
        <w:tc>
          <w:tcPr>
            <w:tcW w:w="487" w:type="pct"/>
            <w:vAlign w:val="center"/>
            <w:hideMark/>
          </w:tcPr>
          <w:p w14:paraId="5114E93F"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1.138.142 </w:t>
            </w:r>
          </w:p>
        </w:tc>
        <w:tc>
          <w:tcPr>
            <w:tcW w:w="487" w:type="pct"/>
            <w:vAlign w:val="center"/>
            <w:hideMark/>
          </w:tcPr>
          <w:p w14:paraId="2A44F8C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2.276.284 </w:t>
            </w:r>
          </w:p>
        </w:tc>
      </w:tr>
      <w:tr w:rsidR="00FC186A" w:rsidRPr="00FC186A" w14:paraId="349D3A4E" w14:textId="77777777" w:rsidTr="00E627AD">
        <w:trPr>
          <w:trHeight w:val="810"/>
        </w:trPr>
        <w:tc>
          <w:tcPr>
            <w:tcW w:w="247" w:type="pct"/>
            <w:vAlign w:val="center"/>
            <w:hideMark/>
          </w:tcPr>
          <w:p w14:paraId="07FF24B0" w14:textId="5CD1D5D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22</w:t>
            </w:r>
          </w:p>
        </w:tc>
        <w:tc>
          <w:tcPr>
            <w:tcW w:w="809" w:type="pct"/>
            <w:noWrap/>
            <w:vAlign w:val="center"/>
            <w:hideMark/>
          </w:tcPr>
          <w:p w14:paraId="622F22C4"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Extracto de levadura </w:t>
            </w:r>
          </w:p>
        </w:tc>
        <w:tc>
          <w:tcPr>
            <w:tcW w:w="1655" w:type="pct"/>
            <w:vAlign w:val="center"/>
            <w:hideMark/>
          </w:tcPr>
          <w:p w14:paraId="4555A733"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Frasco por 500 gramos </w:t>
            </w:r>
          </w:p>
        </w:tc>
        <w:tc>
          <w:tcPr>
            <w:tcW w:w="403" w:type="pct"/>
            <w:noWrap/>
            <w:vAlign w:val="center"/>
            <w:hideMark/>
          </w:tcPr>
          <w:p w14:paraId="01FC1BE2"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5</w:t>
            </w:r>
          </w:p>
        </w:tc>
        <w:tc>
          <w:tcPr>
            <w:tcW w:w="357" w:type="pct"/>
            <w:vAlign w:val="center"/>
            <w:hideMark/>
          </w:tcPr>
          <w:p w14:paraId="3FC66419"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38FAF95D"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frasco</w:t>
            </w:r>
          </w:p>
        </w:tc>
        <w:tc>
          <w:tcPr>
            <w:tcW w:w="487" w:type="pct"/>
            <w:vAlign w:val="center"/>
            <w:hideMark/>
          </w:tcPr>
          <w:p w14:paraId="0F3D2CF2"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550.000 </w:t>
            </w:r>
          </w:p>
        </w:tc>
        <w:tc>
          <w:tcPr>
            <w:tcW w:w="487" w:type="pct"/>
            <w:vAlign w:val="center"/>
            <w:hideMark/>
          </w:tcPr>
          <w:p w14:paraId="38F1F052"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2.750.000 </w:t>
            </w:r>
          </w:p>
        </w:tc>
      </w:tr>
      <w:tr w:rsidR="00FC186A" w:rsidRPr="00FC186A" w14:paraId="1A0EC99A" w14:textId="77777777" w:rsidTr="00E627AD">
        <w:trPr>
          <w:trHeight w:val="555"/>
        </w:trPr>
        <w:tc>
          <w:tcPr>
            <w:tcW w:w="247" w:type="pct"/>
            <w:vAlign w:val="center"/>
            <w:hideMark/>
          </w:tcPr>
          <w:p w14:paraId="0ED284E0" w14:textId="63874385"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23</w:t>
            </w:r>
          </w:p>
        </w:tc>
        <w:tc>
          <w:tcPr>
            <w:tcW w:w="809" w:type="pct"/>
            <w:vAlign w:val="center"/>
            <w:hideMark/>
          </w:tcPr>
          <w:p w14:paraId="3D40443E"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Peptona </w:t>
            </w:r>
          </w:p>
        </w:tc>
        <w:tc>
          <w:tcPr>
            <w:tcW w:w="1655" w:type="pct"/>
            <w:vAlign w:val="center"/>
            <w:hideMark/>
          </w:tcPr>
          <w:p w14:paraId="6586C135"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Frasco por 500 gramos</w:t>
            </w:r>
          </w:p>
        </w:tc>
        <w:tc>
          <w:tcPr>
            <w:tcW w:w="403" w:type="pct"/>
            <w:vAlign w:val="center"/>
            <w:hideMark/>
          </w:tcPr>
          <w:p w14:paraId="7DAF016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5</w:t>
            </w:r>
          </w:p>
        </w:tc>
        <w:tc>
          <w:tcPr>
            <w:tcW w:w="357" w:type="pct"/>
            <w:vAlign w:val="center"/>
            <w:hideMark/>
          </w:tcPr>
          <w:p w14:paraId="3DD646AE"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60624EC3"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frasco</w:t>
            </w:r>
          </w:p>
        </w:tc>
        <w:tc>
          <w:tcPr>
            <w:tcW w:w="487" w:type="pct"/>
            <w:vAlign w:val="center"/>
            <w:hideMark/>
          </w:tcPr>
          <w:p w14:paraId="3674689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520.000 </w:t>
            </w:r>
          </w:p>
        </w:tc>
        <w:tc>
          <w:tcPr>
            <w:tcW w:w="487" w:type="pct"/>
            <w:vAlign w:val="center"/>
            <w:hideMark/>
          </w:tcPr>
          <w:p w14:paraId="2ADDCD04"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2.600.000 </w:t>
            </w:r>
          </w:p>
        </w:tc>
      </w:tr>
      <w:tr w:rsidR="00FC186A" w:rsidRPr="00FC186A" w14:paraId="7BA66D2E" w14:textId="77777777" w:rsidTr="00E627AD">
        <w:trPr>
          <w:trHeight w:val="570"/>
        </w:trPr>
        <w:tc>
          <w:tcPr>
            <w:tcW w:w="247" w:type="pct"/>
            <w:vAlign w:val="center"/>
            <w:hideMark/>
          </w:tcPr>
          <w:p w14:paraId="4458E6CC" w14:textId="563E6632"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24</w:t>
            </w:r>
          </w:p>
        </w:tc>
        <w:tc>
          <w:tcPr>
            <w:tcW w:w="809" w:type="pct"/>
            <w:vAlign w:val="center"/>
            <w:hideMark/>
          </w:tcPr>
          <w:p w14:paraId="219AEF63"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Caldo de infusión de cerebro y corazón</w:t>
            </w:r>
          </w:p>
        </w:tc>
        <w:tc>
          <w:tcPr>
            <w:tcW w:w="1655" w:type="pct"/>
            <w:vAlign w:val="center"/>
            <w:hideMark/>
          </w:tcPr>
          <w:p w14:paraId="4FDE632F"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Frasco por 500 gramos </w:t>
            </w:r>
          </w:p>
        </w:tc>
        <w:tc>
          <w:tcPr>
            <w:tcW w:w="403" w:type="pct"/>
            <w:vAlign w:val="center"/>
            <w:hideMark/>
          </w:tcPr>
          <w:p w14:paraId="218FE116"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4</w:t>
            </w:r>
          </w:p>
        </w:tc>
        <w:tc>
          <w:tcPr>
            <w:tcW w:w="357" w:type="pct"/>
            <w:vAlign w:val="center"/>
            <w:hideMark/>
          </w:tcPr>
          <w:p w14:paraId="27BAC8C2"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43B4840E"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frasco</w:t>
            </w:r>
          </w:p>
        </w:tc>
        <w:tc>
          <w:tcPr>
            <w:tcW w:w="487" w:type="pct"/>
            <w:vAlign w:val="center"/>
            <w:hideMark/>
          </w:tcPr>
          <w:p w14:paraId="7F3AF528"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480.000 </w:t>
            </w:r>
          </w:p>
        </w:tc>
        <w:tc>
          <w:tcPr>
            <w:tcW w:w="487" w:type="pct"/>
            <w:vAlign w:val="center"/>
            <w:hideMark/>
          </w:tcPr>
          <w:p w14:paraId="13DC0B33"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1.920.000 </w:t>
            </w:r>
          </w:p>
        </w:tc>
      </w:tr>
      <w:tr w:rsidR="00FC186A" w:rsidRPr="00FC186A" w14:paraId="150E2EBC" w14:textId="77777777" w:rsidTr="00E627AD">
        <w:trPr>
          <w:trHeight w:val="1155"/>
        </w:trPr>
        <w:tc>
          <w:tcPr>
            <w:tcW w:w="247" w:type="pct"/>
            <w:vAlign w:val="center"/>
            <w:hideMark/>
          </w:tcPr>
          <w:p w14:paraId="3AB76CC1" w14:textId="5C481DF1"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25</w:t>
            </w:r>
          </w:p>
        </w:tc>
        <w:tc>
          <w:tcPr>
            <w:tcW w:w="809" w:type="pct"/>
            <w:vAlign w:val="center"/>
            <w:hideMark/>
          </w:tcPr>
          <w:p w14:paraId="29D40972"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Kit de Detección de proteinas </w:t>
            </w:r>
          </w:p>
        </w:tc>
        <w:tc>
          <w:tcPr>
            <w:tcW w:w="1655" w:type="pct"/>
            <w:vAlign w:val="center"/>
            <w:hideMark/>
          </w:tcPr>
          <w:p w14:paraId="467B3261" w14:textId="77777777" w:rsidR="00FC186A" w:rsidRPr="00FC186A" w:rsidRDefault="00FC186A" w:rsidP="00FC186A">
            <w:pPr>
              <w:spacing w:after="0" w:line="240" w:lineRule="auto"/>
              <w:jc w:val="both"/>
              <w:rPr>
                <w:rFonts w:eastAsia="Times New Roman" w:cs="Calibri"/>
                <w:color w:val="000000"/>
                <w:sz w:val="16"/>
                <w:szCs w:val="16"/>
                <w:lang w:eastAsia="es-PY"/>
              </w:rPr>
            </w:pPr>
            <w:r w:rsidRPr="00FC186A">
              <w:rPr>
                <w:rFonts w:eastAsia="Times New Roman" w:cs="Calibri"/>
                <w:color w:val="000000"/>
                <w:sz w:val="16"/>
                <w:szCs w:val="16"/>
                <w:lang w:eastAsia="es-PY"/>
              </w:rPr>
              <w:t>Reactivo de Bradford. Solución de azul Brillante de Coomassie G-250 para cuantificación de proteínas a una longitud de onda de 595 nm, para ensayos a nivel micro (1–10 μg/ml) y estándar (50–1400 μg/ml).</w:t>
            </w:r>
          </w:p>
        </w:tc>
        <w:tc>
          <w:tcPr>
            <w:tcW w:w="403" w:type="pct"/>
            <w:vAlign w:val="center"/>
            <w:hideMark/>
          </w:tcPr>
          <w:p w14:paraId="7F489684"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357" w:type="pct"/>
            <w:vAlign w:val="center"/>
            <w:hideMark/>
          </w:tcPr>
          <w:p w14:paraId="1EC339A5"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428733CD"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Kit</w:t>
            </w:r>
          </w:p>
        </w:tc>
        <w:tc>
          <w:tcPr>
            <w:tcW w:w="487" w:type="pct"/>
            <w:vAlign w:val="center"/>
            <w:hideMark/>
          </w:tcPr>
          <w:p w14:paraId="57DB168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2.200.000 </w:t>
            </w:r>
          </w:p>
        </w:tc>
        <w:tc>
          <w:tcPr>
            <w:tcW w:w="487" w:type="pct"/>
            <w:vAlign w:val="center"/>
            <w:hideMark/>
          </w:tcPr>
          <w:p w14:paraId="0AFC8886"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2.200.000 </w:t>
            </w:r>
          </w:p>
        </w:tc>
      </w:tr>
      <w:tr w:rsidR="00FC186A" w:rsidRPr="00FC186A" w14:paraId="510B6B2C" w14:textId="77777777" w:rsidTr="00E627AD">
        <w:trPr>
          <w:trHeight w:val="570"/>
        </w:trPr>
        <w:tc>
          <w:tcPr>
            <w:tcW w:w="247" w:type="pct"/>
            <w:vAlign w:val="center"/>
            <w:hideMark/>
          </w:tcPr>
          <w:p w14:paraId="5C23A2A9" w14:textId="198B207B"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26</w:t>
            </w:r>
          </w:p>
        </w:tc>
        <w:tc>
          <w:tcPr>
            <w:tcW w:w="809" w:type="pct"/>
            <w:shd w:val="clear" w:color="000000" w:fill="FFFFFF"/>
            <w:vAlign w:val="center"/>
            <w:hideMark/>
          </w:tcPr>
          <w:p w14:paraId="5E24085B"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Agua libre de nucleasa</w:t>
            </w:r>
          </w:p>
        </w:tc>
        <w:tc>
          <w:tcPr>
            <w:tcW w:w="1655" w:type="pct"/>
            <w:shd w:val="clear" w:color="000000" w:fill="FFFFFF"/>
            <w:vAlign w:val="center"/>
            <w:hideMark/>
          </w:tcPr>
          <w:p w14:paraId="27617888" w14:textId="77777777" w:rsidR="00FC186A" w:rsidRPr="00FC186A" w:rsidRDefault="00FC186A" w:rsidP="00FC186A">
            <w:pPr>
              <w:spacing w:after="0" w:line="240" w:lineRule="auto"/>
              <w:jc w:val="both"/>
              <w:rPr>
                <w:rFonts w:eastAsia="Times New Roman" w:cs="Calibri"/>
                <w:color w:val="000000"/>
                <w:sz w:val="16"/>
                <w:szCs w:val="16"/>
                <w:lang w:eastAsia="es-PY"/>
              </w:rPr>
            </w:pPr>
            <w:r w:rsidRPr="00FC186A">
              <w:rPr>
                <w:rFonts w:eastAsia="Times New Roman" w:cs="Calibri"/>
                <w:color w:val="000000"/>
                <w:sz w:val="16"/>
                <w:szCs w:val="16"/>
                <w:lang w:eastAsia="es-PY"/>
              </w:rPr>
              <w:t>500 mL</w:t>
            </w:r>
          </w:p>
        </w:tc>
        <w:tc>
          <w:tcPr>
            <w:tcW w:w="403" w:type="pct"/>
            <w:vAlign w:val="center"/>
            <w:hideMark/>
          </w:tcPr>
          <w:p w14:paraId="6159BB5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357" w:type="pct"/>
            <w:vAlign w:val="center"/>
            <w:hideMark/>
          </w:tcPr>
          <w:p w14:paraId="4A74F2D0"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0393F939"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487" w:type="pct"/>
            <w:vAlign w:val="center"/>
            <w:hideMark/>
          </w:tcPr>
          <w:p w14:paraId="5ECCA326"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1.600.000 </w:t>
            </w:r>
          </w:p>
        </w:tc>
        <w:tc>
          <w:tcPr>
            <w:tcW w:w="487" w:type="pct"/>
            <w:vAlign w:val="center"/>
            <w:hideMark/>
          </w:tcPr>
          <w:p w14:paraId="6B9BBF6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1.600.000 </w:t>
            </w:r>
          </w:p>
        </w:tc>
      </w:tr>
      <w:tr w:rsidR="00FC186A" w:rsidRPr="00FC186A" w14:paraId="644A023F" w14:textId="77777777" w:rsidTr="00E627AD">
        <w:trPr>
          <w:trHeight w:val="570"/>
        </w:trPr>
        <w:tc>
          <w:tcPr>
            <w:tcW w:w="247" w:type="pct"/>
            <w:vAlign w:val="center"/>
            <w:hideMark/>
          </w:tcPr>
          <w:p w14:paraId="3E1B6834" w14:textId="3A4D24ED"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27</w:t>
            </w:r>
          </w:p>
        </w:tc>
        <w:tc>
          <w:tcPr>
            <w:tcW w:w="809" w:type="pct"/>
            <w:shd w:val="clear" w:color="000000" w:fill="FFFFFF"/>
            <w:vAlign w:val="center"/>
            <w:hideMark/>
          </w:tcPr>
          <w:p w14:paraId="3C7957FA"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Agarosa</w:t>
            </w:r>
          </w:p>
        </w:tc>
        <w:tc>
          <w:tcPr>
            <w:tcW w:w="1655" w:type="pct"/>
            <w:shd w:val="clear" w:color="000000" w:fill="FFFFFF"/>
            <w:vAlign w:val="center"/>
            <w:hideMark/>
          </w:tcPr>
          <w:p w14:paraId="1630D76E" w14:textId="77777777" w:rsidR="00FC186A" w:rsidRPr="00FC186A" w:rsidRDefault="00FC186A" w:rsidP="00FC186A">
            <w:pPr>
              <w:spacing w:after="0" w:line="240" w:lineRule="auto"/>
              <w:jc w:val="both"/>
              <w:rPr>
                <w:rFonts w:eastAsia="Times New Roman" w:cs="Calibri"/>
                <w:color w:val="000000"/>
                <w:sz w:val="16"/>
                <w:szCs w:val="16"/>
                <w:lang w:eastAsia="es-PY"/>
              </w:rPr>
            </w:pPr>
            <w:r w:rsidRPr="00FC186A">
              <w:rPr>
                <w:rFonts w:eastAsia="Times New Roman" w:cs="Calibri"/>
                <w:color w:val="000000"/>
                <w:sz w:val="16"/>
                <w:szCs w:val="16"/>
                <w:lang w:eastAsia="es-PY"/>
              </w:rPr>
              <w:t xml:space="preserve">500 g </w:t>
            </w:r>
          </w:p>
        </w:tc>
        <w:tc>
          <w:tcPr>
            <w:tcW w:w="403" w:type="pct"/>
            <w:vAlign w:val="center"/>
            <w:hideMark/>
          </w:tcPr>
          <w:p w14:paraId="6AC566F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357" w:type="pct"/>
            <w:vAlign w:val="center"/>
            <w:hideMark/>
          </w:tcPr>
          <w:p w14:paraId="320CAB16"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2B0C473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487" w:type="pct"/>
            <w:vAlign w:val="center"/>
            <w:hideMark/>
          </w:tcPr>
          <w:p w14:paraId="11156CE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6.800.000 </w:t>
            </w:r>
          </w:p>
        </w:tc>
        <w:tc>
          <w:tcPr>
            <w:tcW w:w="487" w:type="pct"/>
            <w:vAlign w:val="center"/>
            <w:hideMark/>
          </w:tcPr>
          <w:p w14:paraId="7E00159C"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6.800.000 </w:t>
            </w:r>
          </w:p>
        </w:tc>
      </w:tr>
      <w:tr w:rsidR="00FC186A" w:rsidRPr="00FC186A" w14:paraId="274C1D4D" w14:textId="77777777" w:rsidTr="00E627AD">
        <w:trPr>
          <w:trHeight w:val="570"/>
        </w:trPr>
        <w:tc>
          <w:tcPr>
            <w:tcW w:w="247" w:type="pct"/>
            <w:vAlign w:val="center"/>
            <w:hideMark/>
          </w:tcPr>
          <w:p w14:paraId="06451F67" w14:textId="418D40A6"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28</w:t>
            </w:r>
          </w:p>
        </w:tc>
        <w:tc>
          <w:tcPr>
            <w:tcW w:w="809" w:type="pct"/>
            <w:noWrap/>
            <w:vAlign w:val="center"/>
            <w:hideMark/>
          </w:tcPr>
          <w:p w14:paraId="24D27734"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Aflatoxinas </w:t>
            </w:r>
          </w:p>
        </w:tc>
        <w:tc>
          <w:tcPr>
            <w:tcW w:w="1655" w:type="pct"/>
            <w:shd w:val="clear" w:color="000000" w:fill="FFFFFF"/>
            <w:vAlign w:val="center"/>
            <w:hideMark/>
          </w:tcPr>
          <w:p w14:paraId="3933D5FD" w14:textId="77777777" w:rsidR="00FC186A" w:rsidRPr="00FC186A" w:rsidRDefault="00FC186A" w:rsidP="00FC186A">
            <w:pPr>
              <w:spacing w:after="0" w:line="240" w:lineRule="auto"/>
              <w:jc w:val="both"/>
              <w:rPr>
                <w:rFonts w:eastAsia="Times New Roman" w:cs="Calibri"/>
                <w:color w:val="000000"/>
                <w:sz w:val="16"/>
                <w:szCs w:val="16"/>
                <w:lang w:eastAsia="es-PY"/>
              </w:rPr>
            </w:pPr>
            <w:r w:rsidRPr="00FC186A">
              <w:rPr>
                <w:rFonts w:eastAsia="Times New Roman" w:cs="Calibri"/>
                <w:color w:val="000000"/>
                <w:sz w:val="16"/>
                <w:szCs w:val="16"/>
                <w:lang w:eastAsia="es-PY"/>
              </w:rPr>
              <w:t>Estándar analítico certificado de Aflatoxina B1 (CRM, ISO 17034), 2 μg/mL en acetonitrilo, vial de 1 mL</w:t>
            </w:r>
          </w:p>
        </w:tc>
        <w:tc>
          <w:tcPr>
            <w:tcW w:w="403" w:type="pct"/>
            <w:vAlign w:val="center"/>
            <w:hideMark/>
          </w:tcPr>
          <w:p w14:paraId="14A52B6C"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357" w:type="pct"/>
            <w:vAlign w:val="center"/>
            <w:hideMark/>
          </w:tcPr>
          <w:p w14:paraId="1F7F7FE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 </w:t>
            </w:r>
          </w:p>
        </w:tc>
        <w:tc>
          <w:tcPr>
            <w:tcW w:w="550" w:type="pct"/>
            <w:vAlign w:val="center"/>
            <w:hideMark/>
          </w:tcPr>
          <w:p w14:paraId="795AF7E4"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 </w:t>
            </w:r>
          </w:p>
        </w:tc>
        <w:tc>
          <w:tcPr>
            <w:tcW w:w="487" w:type="pct"/>
            <w:vAlign w:val="center"/>
            <w:hideMark/>
          </w:tcPr>
          <w:p w14:paraId="31E4D566"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7.500.000 </w:t>
            </w:r>
          </w:p>
        </w:tc>
        <w:tc>
          <w:tcPr>
            <w:tcW w:w="487" w:type="pct"/>
            <w:vAlign w:val="center"/>
            <w:hideMark/>
          </w:tcPr>
          <w:p w14:paraId="32DB6F5D"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7.500.000 </w:t>
            </w:r>
          </w:p>
        </w:tc>
      </w:tr>
      <w:tr w:rsidR="00FC186A" w:rsidRPr="00FC186A" w14:paraId="282DCF49" w14:textId="77777777" w:rsidTr="00E627AD">
        <w:trPr>
          <w:trHeight w:val="690"/>
        </w:trPr>
        <w:tc>
          <w:tcPr>
            <w:tcW w:w="247" w:type="pct"/>
            <w:vAlign w:val="center"/>
            <w:hideMark/>
          </w:tcPr>
          <w:p w14:paraId="2E0CD6A2" w14:textId="13AC568B"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lastRenderedPageBreak/>
              <w:t>29</w:t>
            </w:r>
          </w:p>
        </w:tc>
        <w:tc>
          <w:tcPr>
            <w:tcW w:w="809" w:type="pct"/>
            <w:noWrap/>
            <w:vAlign w:val="center"/>
            <w:hideMark/>
          </w:tcPr>
          <w:p w14:paraId="3D92DF84"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Aflatoxinas </w:t>
            </w:r>
          </w:p>
        </w:tc>
        <w:tc>
          <w:tcPr>
            <w:tcW w:w="1655" w:type="pct"/>
            <w:shd w:val="clear" w:color="000000" w:fill="FFFFFF"/>
            <w:vAlign w:val="center"/>
            <w:hideMark/>
          </w:tcPr>
          <w:p w14:paraId="46959C8D"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Estándar analítico certificado de Aflatoxina B2 (CRM, ISO 17034) - 0.5 μg/mL en acetonitrilo, vial de 1 mL</w:t>
            </w:r>
          </w:p>
        </w:tc>
        <w:tc>
          <w:tcPr>
            <w:tcW w:w="403" w:type="pct"/>
            <w:vAlign w:val="center"/>
            <w:hideMark/>
          </w:tcPr>
          <w:p w14:paraId="74A39FA4"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357" w:type="pct"/>
            <w:vAlign w:val="center"/>
            <w:hideMark/>
          </w:tcPr>
          <w:p w14:paraId="44304F4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0C5E955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487" w:type="pct"/>
            <w:vAlign w:val="center"/>
            <w:hideMark/>
          </w:tcPr>
          <w:p w14:paraId="2393DAB6"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7.500.000 </w:t>
            </w:r>
          </w:p>
        </w:tc>
        <w:tc>
          <w:tcPr>
            <w:tcW w:w="487" w:type="pct"/>
            <w:vAlign w:val="center"/>
            <w:hideMark/>
          </w:tcPr>
          <w:p w14:paraId="7A3A431E"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7.500.000 </w:t>
            </w:r>
          </w:p>
        </w:tc>
      </w:tr>
      <w:tr w:rsidR="00FC186A" w:rsidRPr="00FC186A" w14:paraId="20DD5409" w14:textId="77777777" w:rsidTr="00E627AD">
        <w:trPr>
          <w:trHeight w:val="705"/>
        </w:trPr>
        <w:tc>
          <w:tcPr>
            <w:tcW w:w="247" w:type="pct"/>
            <w:vAlign w:val="center"/>
            <w:hideMark/>
          </w:tcPr>
          <w:p w14:paraId="0075E0E4" w14:textId="44D35D7B"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30</w:t>
            </w:r>
          </w:p>
        </w:tc>
        <w:tc>
          <w:tcPr>
            <w:tcW w:w="809" w:type="pct"/>
            <w:noWrap/>
            <w:vAlign w:val="center"/>
            <w:hideMark/>
          </w:tcPr>
          <w:p w14:paraId="4541353D"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Aflatoxinas </w:t>
            </w:r>
          </w:p>
        </w:tc>
        <w:tc>
          <w:tcPr>
            <w:tcW w:w="1655" w:type="pct"/>
            <w:shd w:val="clear" w:color="000000" w:fill="FFFFFF"/>
            <w:vAlign w:val="center"/>
            <w:hideMark/>
          </w:tcPr>
          <w:p w14:paraId="71A437A8"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Estándar analítico certificado de Aflatoxina G1 (CRM, ISO 17034) - 2 μg/mL en acetonitrilo, vial de 1 mL</w:t>
            </w:r>
          </w:p>
        </w:tc>
        <w:tc>
          <w:tcPr>
            <w:tcW w:w="403" w:type="pct"/>
            <w:vAlign w:val="center"/>
            <w:hideMark/>
          </w:tcPr>
          <w:p w14:paraId="43F80CCF"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357" w:type="pct"/>
            <w:vAlign w:val="center"/>
            <w:hideMark/>
          </w:tcPr>
          <w:p w14:paraId="1E1046E1"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717BEBDE"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487" w:type="pct"/>
            <w:vAlign w:val="center"/>
            <w:hideMark/>
          </w:tcPr>
          <w:p w14:paraId="3A14A473"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7.500.000 </w:t>
            </w:r>
          </w:p>
        </w:tc>
        <w:tc>
          <w:tcPr>
            <w:tcW w:w="487" w:type="pct"/>
            <w:vAlign w:val="center"/>
            <w:hideMark/>
          </w:tcPr>
          <w:p w14:paraId="44F5B2E8"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7.500.000 </w:t>
            </w:r>
          </w:p>
        </w:tc>
      </w:tr>
      <w:tr w:rsidR="00FC186A" w:rsidRPr="00FC186A" w14:paraId="7A15F38D" w14:textId="77777777" w:rsidTr="00E627AD">
        <w:trPr>
          <w:trHeight w:val="825"/>
        </w:trPr>
        <w:tc>
          <w:tcPr>
            <w:tcW w:w="247" w:type="pct"/>
            <w:vAlign w:val="center"/>
            <w:hideMark/>
          </w:tcPr>
          <w:p w14:paraId="65EDAA5E" w14:textId="423DF2D0"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31</w:t>
            </w:r>
          </w:p>
        </w:tc>
        <w:tc>
          <w:tcPr>
            <w:tcW w:w="809" w:type="pct"/>
            <w:noWrap/>
            <w:vAlign w:val="center"/>
            <w:hideMark/>
          </w:tcPr>
          <w:p w14:paraId="69ADD4D4"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Aflatoxinas </w:t>
            </w:r>
          </w:p>
        </w:tc>
        <w:tc>
          <w:tcPr>
            <w:tcW w:w="1655" w:type="pct"/>
            <w:vAlign w:val="center"/>
            <w:hideMark/>
          </w:tcPr>
          <w:p w14:paraId="4CCAAC72"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Estándar analítico certificado de Aflatoxina G2 (CRM, ISO 17034) - 0.5 μg/mL en acetonitrilo, vial de 1 mL</w:t>
            </w:r>
          </w:p>
        </w:tc>
        <w:tc>
          <w:tcPr>
            <w:tcW w:w="403" w:type="pct"/>
            <w:vAlign w:val="center"/>
            <w:hideMark/>
          </w:tcPr>
          <w:p w14:paraId="16466CAE"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357" w:type="pct"/>
            <w:vAlign w:val="center"/>
            <w:hideMark/>
          </w:tcPr>
          <w:p w14:paraId="26C40BD4"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4A069BD5"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487" w:type="pct"/>
            <w:vAlign w:val="center"/>
            <w:hideMark/>
          </w:tcPr>
          <w:p w14:paraId="7A950FB8"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7.500.000 </w:t>
            </w:r>
          </w:p>
        </w:tc>
        <w:tc>
          <w:tcPr>
            <w:tcW w:w="487" w:type="pct"/>
            <w:vAlign w:val="center"/>
            <w:hideMark/>
          </w:tcPr>
          <w:p w14:paraId="438901C6"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7.500.000 </w:t>
            </w:r>
          </w:p>
        </w:tc>
      </w:tr>
      <w:tr w:rsidR="00FC186A" w:rsidRPr="00FC186A" w14:paraId="5D6594F7" w14:textId="77777777" w:rsidTr="00E627AD">
        <w:trPr>
          <w:trHeight w:val="675"/>
        </w:trPr>
        <w:tc>
          <w:tcPr>
            <w:tcW w:w="247" w:type="pct"/>
            <w:vAlign w:val="center"/>
            <w:hideMark/>
          </w:tcPr>
          <w:p w14:paraId="372D5445" w14:textId="4DBAE462"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32</w:t>
            </w:r>
          </w:p>
        </w:tc>
        <w:tc>
          <w:tcPr>
            <w:tcW w:w="809" w:type="pct"/>
            <w:shd w:val="clear" w:color="000000" w:fill="FFFFFF"/>
            <w:vAlign w:val="center"/>
            <w:hideMark/>
          </w:tcPr>
          <w:p w14:paraId="6106B235"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Acetato de Etilo </w:t>
            </w:r>
          </w:p>
        </w:tc>
        <w:tc>
          <w:tcPr>
            <w:tcW w:w="1655" w:type="pct"/>
            <w:shd w:val="clear" w:color="000000" w:fill="FFFFFF"/>
            <w:vAlign w:val="center"/>
            <w:hideMark/>
          </w:tcPr>
          <w:p w14:paraId="58EF7E9C"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Calidad para análisis. Frasco por un litro  </w:t>
            </w:r>
          </w:p>
        </w:tc>
        <w:tc>
          <w:tcPr>
            <w:tcW w:w="403" w:type="pct"/>
            <w:vAlign w:val="center"/>
            <w:hideMark/>
          </w:tcPr>
          <w:p w14:paraId="76D8FAF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357" w:type="pct"/>
            <w:vAlign w:val="center"/>
            <w:hideMark/>
          </w:tcPr>
          <w:p w14:paraId="7D20BCD4"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6BF90ED1"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frasco </w:t>
            </w:r>
          </w:p>
        </w:tc>
        <w:tc>
          <w:tcPr>
            <w:tcW w:w="487" w:type="pct"/>
            <w:vAlign w:val="center"/>
            <w:hideMark/>
          </w:tcPr>
          <w:p w14:paraId="4CBA673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285.000 </w:t>
            </w:r>
          </w:p>
        </w:tc>
        <w:tc>
          <w:tcPr>
            <w:tcW w:w="487" w:type="pct"/>
            <w:vAlign w:val="center"/>
            <w:hideMark/>
          </w:tcPr>
          <w:p w14:paraId="26170D4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285.000 </w:t>
            </w:r>
          </w:p>
        </w:tc>
      </w:tr>
      <w:tr w:rsidR="00FC186A" w:rsidRPr="00FC186A" w14:paraId="1F66CC52" w14:textId="77777777" w:rsidTr="00E627AD">
        <w:trPr>
          <w:trHeight w:val="2310"/>
        </w:trPr>
        <w:tc>
          <w:tcPr>
            <w:tcW w:w="247" w:type="pct"/>
            <w:vAlign w:val="center"/>
            <w:hideMark/>
          </w:tcPr>
          <w:p w14:paraId="1D10B3B4" w14:textId="2B87E711"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33</w:t>
            </w:r>
          </w:p>
        </w:tc>
        <w:tc>
          <w:tcPr>
            <w:tcW w:w="809" w:type="pct"/>
            <w:shd w:val="clear" w:color="000000" w:fill="FFFFFF"/>
            <w:vAlign w:val="center"/>
            <w:hideMark/>
          </w:tcPr>
          <w:p w14:paraId="24CAD06B"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Sulfato de amonio </w:t>
            </w:r>
          </w:p>
        </w:tc>
        <w:tc>
          <w:tcPr>
            <w:tcW w:w="1655" w:type="pct"/>
            <w:shd w:val="clear" w:color="000000" w:fill="FFFFFF"/>
            <w:vAlign w:val="center"/>
            <w:hideMark/>
          </w:tcPr>
          <w:p w14:paraId="13AA4C0D" w14:textId="77777777" w:rsidR="00FC186A" w:rsidRPr="00FC186A" w:rsidRDefault="00FC186A" w:rsidP="00FC186A">
            <w:pPr>
              <w:spacing w:after="0" w:line="240" w:lineRule="auto"/>
              <w:jc w:val="both"/>
              <w:rPr>
                <w:rFonts w:eastAsia="Times New Roman" w:cs="Calibri"/>
                <w:color w:val="000000"/>
                <w:sz w:val="16"/>
                <w:szCs w:val="16"/>
                <w:lang w:eastAsia="es-PY"/>
              </w:rPr>
            </w:pPr>
            <w:r w:rsidRPr="00FC186A">
              <w:rPr>
                <w:rFonts w:eastAsia="Times New Roman" w:cs="Calibri"/>
                <w:color w:val="000000"/>
                <w:sz w:val="16"/>
                <w:szCs w:val="16"/>
                <w:lang w:eastAsia="es-PY"/>
              </w:rPr>
              <w:t xml:space="preserve">Sulfato de amonio. Envasado en origen, en frasco de plástico, con tapa hermética no atacable por el producto y precinto de seguridad; con rótulo especificando grado de pureza y clasificación por toxicidad; y fecha de vencimiento. Debe contar con certificado de control de calidad de origen. Con fecha de vencimiento mínimamente de 2 años posteriores a la fecha de adquisición. Frasco por 500 gramos </w:t>
            </w:r>
          </w:p>
        </w:tc>
        <w:tc>
          <w:tcPr>
            <w:tcW w:w="403" w:type="pct"/>
            <w:vAlign w:val="center"/>
            <w:hideMark/>
          </w:tcPr>
          <w:p w14:paraId="07344486"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3</w:t>
            </w:r>
          </w:p>
        </w:tc>
        <w:tc>
          <w:tcPr>
            <w:tcW w:w="357" w:type="pct"/>
            <w:vAlign w:val="center"/>
            <w:hideMark/>
          </w:tcPr>
          <w:p w14:paraId="7B358C30"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5050008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frasco</w:t>
            </w:r>
          </w:p>
        </w:tc>
        <w:tc>
          <w:tcPr>
            <w:tcW w:w="487" w:type="pct"/>
            <w:vAlign w:val="center"/>
            <w:hideMark/>
          </w:tcPr>
          <w:p w14:paraId="283114E2"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269.000 </w:t>
            </w:r>
          </w:p>
        </w:tc>
        <w:tc>
          <w:tcPr>
            <w:tcW w:w="487" w:type="pct"/>
            <w:vAlign w:val="center"/>
            <w:hideMark/>
          </w:tcPr>
          <w:p w14:paraId="7DFAF3C5"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807.000 </w:t>
            </w:r>
          </w:p>
        </w:tc>
      </w:tr>
      <w:tr w:rsidR="00FC186A" w:rsidRPr="00FC186A" w14:paraId="2335FE25" w14:textId="77777777" w:rsidTr="00E627AD">
        <w:trPr>
          <w:trHeight w:val="5550"/>
        </w:trPr>
        <w:tc>
          <w:tcPr>
            <w:tcW w:w="247" w:type="pct"/>
            <w:vAlign w:val="center"/>
            <w:hideMark/>
          </w:tcPr>
          <w:p w14:paraId="45B93417" w14:textId="106E4D2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34</w:t>
            </w:r>
          </w:p>
        </w:tc>
        <w:tc>
          <w:tcPr>
            <w:tcW w:w="809" w:type="pct"/>
            <w:vAlign w:val="center"/>
            <w:hideMark/>
          </w:tcPr>
          <w:p w14:paraId="6D102913"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Microscopio Binocular </w:t>
            </w:r>
          </w:p>
        </w:tc>
        <w:tc>
          <w:tcPr>
            <w:tcW w:w="1655" w:type="pct"/>
            <w:vAlign w:val="center"/>
            <w:hideMark/>
          </w:tcPr>
          <w:p w14:paraId="2004AC20" w14:textId="77777777" w:rsidR="00FC186A" w:rsidRPr="00FC186A" w:rsidRDefault="00FC186A" w:rsidP="00FC186A">
            <w:pPr>
              <w:spacing w:after="0" w:line="240" w:lineRule="auto"/>
              <w:jc w:val="both"/>
              <w:rPr>
                <w:rFonts w:eastAsia="Times New Roman" w:cs="Calibri"/>
                <w:color w:val="000000"/>
                <w:sz w:val="16"/>
                <w:szCs w:val="16"/>
                <w:lang w:eastAsia="es-PY"/>
              </w:rPr>
            </w:pPr>
            <w:r w:rsidRPr="00FC186A">
              <w:rPr>
                <w:rFonts w:eastAsia="Times New Roman" w:cs="Calibri"/>
                <w:color w:val="000000"/>
                <w:sz w:val="16"/>
                <w:szCs w:val="16"/>
                <w:lang w:eastAsia="es-PY"/>
              </w:rPr>
              <w:t>Microscopio binocular, 1000x, batería recargable de iones de litio, objetivos N-PLAN, conector múltiple.</w:t>
            </w:r>
          </w:p>
          <w:p w14:paraId="6E4C0297" w14:textId="77777777" w:rsidR="00FC186A" w:rsidRPr="00FC186A" w:rsidRDefault="00FC186A" w:rsidP="00FC186A">
            <w:pPr>
              <w:spacing w:after="0" w:line="240" w:lineRule="auto"/>
              <w:jc w:val="both"/>
              <w:rPr>
                <w:rFonts w:eastAsia="Times New Roman" w:cs="Calibri"/>
                <w:color w:val="000000"/>
                <w:sz w:val="16"/>
                <w:szCs w:val="16"/>
                <w:lang w:eastAsia="es-PY"/>
              </w:rPr>
            </w:pPr>
            <w:r w:rsidRPr="00FC186A">
              <w:rPr>
                <w:rFonts w:eastAsia="Times New Roman" w:cs="Calibri"/>
                <w:color w:val="000000"/>
                <w:sz w:val="16"/>
                <w:szCs w:val="16"/>
                <w:lang w:eastAsia="es-PY"/>
              </w:rPr>
              <w:t>Los modelos recargables incorporan objetivos N-PLAN y una batería interna recargable de litio que permite hasta 15 horas de uso en exteriores (a intensidad media). Inclinados 30°, giratorios 360°</w:t>
            </w:r>
          </w:p>
          <w:p w14:paraId="750C592F" w14:textId="77777777" w:rsidR="00FC186A" w:rsidRPr="00FC186A" w:rsidRDefault="00FC186A" w:rsidP="00FC186A">
            <w:pPr>
              <w:spacing w:after="0" w:line="240" w:lineRule="auto"/>
              <w:jc w:val="both"/>
              <w:rPr>
                <w:rFonts w:eastAsia="Times New Roman" w:cs="Calibri"/>
                <w:color w:val="000000"/>
                <w:sz w:val="16"/>
                <w:szCs w:val="16"/>
                <w:lang w:eastAsia="es-PY"/>
              </w:rPr>
            </w:pPr>
            <w:r w:rsidRPr="00FC186A">
              <w:rPr>
                <w:rFonts w:eastAsia="Times New Roman" w:cs="Calibri"/>
                <w:color w:val="000000"/>
                <w:sz w:val="16"/>
                <w:szCs w:val="16"/>
                <w:lang w:eastAsia="es-PY"/>
              </w:rPr>
              <w:t>Oculares: WF10x/18mm; Revólver cuádruple; Objetivos: N-PLAN  4x, 10x, 40x, 100x; Platina de doble capa, 125 × 116 mm, rango de movimiento 70 × 30 mm. Enfoque: coaxial grueso y fino, con tope de límite. Condensador Abbe NA 1.25, diafragma de iris, iluminación enfocable de 1 W X-LED 1, control manual de brillo, batería recargable de iones de litio. Procedencia: Italia. Con asistencia técnica y puesta en marcha.-</w:t>
            </w:r>
          </w:p>
        </w:tc>
        <w:tc>
          <w:tcPr>
            <w:tcW w:w="403" w:type="pct"/>
            <w:vAlign w:val="center"/>
            <w:hideMark/>
          </w:tcPr>
          <w:p w14:paraId="75C64380"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2</w:t>
            </w:r>
          </w:p>
          <w:p w14:paraId="52188733" w14:textId="77777777" w:rsidR="00FC186A" w:rsidRPr="00FC186A" w:rsidRDefault="00FC186A" w:rsidP="00FC186A">
            <w:pPr>
              <w:spacing w:after="0" w:line="240" w:lineRule="auto"/>
              <w:jc w:val="center"/>
              <w:rPr>
                <w:rFonts w:eastAsia="Times New Roman" w:cs="Calibri"/>
                <w:color w:val="000000"/>
                <w:sz w:val="16"/>
                <w:szCs w:val="16"/>
                <w:lang w:eastAsia="es-PY"/>
              </w:rPr>
            </w:pPr>
          </w:p>
        </w:tc>
        <w:tc>
          <w:tcPr>
            <w:tcW w:w="357" w:type="pct"/>
            <w:vAlign w:val="center"/>
            <w:hideMark/>
          </w:tcPr>
          <w:p w14:paraId="1207998E"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489A90E3"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487" w:type="pct"/>
            <w:vAlign w:val="center"/>
            <w:hideMark/>
          </w:tcPr>
          <w:p w14:paraId="6CB5260F"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20.000.000 </w:t>
            </w:r>
          </w:p>
        </w:tc>
        <w:tc>
          <w:tcPr>
            <w:tcW w:w="487" w:type="pct"/>
            <w:vAlign w:val="center"/>
            <w:hideMark/>
          </w:tcPr>
          <w:p w14:paraId="7C82063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40.000.000 </w:t>
            </w:r>
          </w:p>
        </w:tc>
      </w:tr>
      <w:tr w:rsidR="00FC186A" w:rsidRPr="00FC186A" w14:paraId="4C99E386" w14:textId="77777777" w:rsidTr="00E627AD">
        <w:trPr>
          <w:trHeight w:val="8190"/>
        </w:trPr>
        <w:tc>
          <w:tcPr>
            <w:tcW w:w="247" w:type="pct"/>
            <w:vAlign w:val="center"/>
            <w:hideMark/>
          </w:tcPr>
          <w:p w14:paraId="69639CE4" w14:textId="7A257D8A"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lastRenderedPageBreak/>
              <w:t>35</w:t>
            </w:r>
          </w:p>
        </w:tc>
        <w:tc>
          <w:tcPr>
            <w:tcW w:w="809" w:type="pct"/>
            <w:vAlign w:val="center"/>
            <w:hideMark/>
          </w:tcPr>
          <w:p w14:paraId="2D86D3A9"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Evaporador rotatorio </w:t>
            </w:r>
          </w:p>
        </w:tc>
        <w:tc>
          <w:tcPr>
            <w:tcW w:w="1655" w:type="pct"/>
            <w:vAlign w:val="center"/>
            <w:hideMark/>
          </w:tcPr>
          <w:p w14:paraId="2872C566"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Volumen del matraz de evaporación. 50-3000 mL (Configuración estándar: 1000 ml) (Eje de vidrio engrosado opcional compatible con matraz de evaporación de 3 L). Volumen del matraz receptor</w:t>
            </w:r>
            <w:r w:rsidRPr="00FC186A">
              <w:rPr>
                <w:rFonts w:eastAsia="Times New Roman" w:cs="Calibri"/>
                <w:color w:val="000000"/>
                <w:sz w:val="16"/>
                <w:szCs w:val="16"/>
                <w:lang w:eastAsia="es-PY"/>
              </w:rPr>
              <w:br/>
              <w:t>100-2000 mL. (Configuración estándar: 1000 ml). Tipo de motor Motor de CC sin escobillas. Rango de velocidad 20-200 rpm</w:t>
            </w:r>
            <w:r w:rsidRPr="00FC186A">
              <w:rPr>
                <w:rFonts w:eastAsia="Times New Roman" w:cs="Calibri"/>
                <w:color w:val="000000"/>
                <w:sz w:val="16"/>
                <w:szCs w:val="16"/>
                <w:lang w:eastAsia="es-PY"/>
              </w:rPr>
              <w:br/>
              <w:t>Mostrar LED (velocidad, temperatura, tiempo). En sentido horario y antihorario. Rango de temperatura de calentamiento Temperatura ambiente hasta 180°C</w:t>
            </w:r>
            <w:r w:rsidRPr="00FC186A">
              <w:rPr>
                <w:rFonts w:eastAsia="Times New Roman" w:cs="Calibri"/>
                <w:color w:val="000000"/>
                <w:sz w:val="16"/>
                <w:szCs w:val="16"/>
                <w:lang w:eastAsia="es-PY"/>
              </w:rPr>
              <w:br/>
              <w:t>Precisión del control agua: ±1°C aceite: ±3°C. Potencia de calefacción 1200 W</w:t>
            </w:r>
            <w:r w:rsidRPr="00FC186A">
              <w:rPr>
                <w:rFonts w:eastAsia="Times New Roman" w:cs="Calibri"/>
                <w:color w:val="000000"/>
                <w:sz w:val="16"/>
                <w:szCs w:val="16"/>
                <w:lang w:eastAsia="es-PY"/>
              </w:rPr>
              <w:br/>
              <w:t>Desplazamiento del trazo Manual 110mm + auxiliar 100mm. Rango de ajuste de tiempo 1-999 minutos. Rango de ajuste de tiempo de intervalo 1~999 s</w:t>
            </w:r>
            <w:r w:rsidRPr="00FC186A">
              <w:rPr>
                <w:rFonts w:eastAsia="Times New Roman" w:cs="Calibri"/>
                <w:color w:val="000000"/>
                <w:sz w:val="16"/>
                <w:szCs w:val="16"/>
                <w:lang w:eastAsia="es-PY"/>
              </w:rPr>
              <w:br/>
              <w:t>Dimensiones (D×An×Al)</w:t>
            </w:r>
            <w:r w:rsidRPr="00FC186A">
              <w:rPr>
                <w:rFonts w:eastAsia="Times New Roman" w:cs="Calibri"/>
                <w:color w:val="000000"/>
                <w:sz w:val="16"/>
                <w:szCs w:val="16"/>
                <w:lang w:eastAsia="es-PY"/>
              </w:rPr>
              <w:br/>
              <w:t>Unidad principal: 440*320*450 mm</w:t>
            </w:r>
            <w:r w:rsidRPr="00FC186A">
              <w:rPr>
                <w:rFonts w:eastAsia="Times New Roman" w:cs="Calibri"/>
                <w:color w:val="000000"/>
                <w:sz w:val="16"/>
                <w:szCs w:val="16"/>
                <w:lang w:eastAsia="es-PY"/>
              </w:rPr>
              <w:br/>
              <w:t>Baño calefactor: 300*300*240 mm</w:t>
            </w:r>
            <w:r w:rsidRPr="00FC186A">
              <w:rPr>
                <w:rFonts w:eastAsia="Times New Roman" w:cs="Calibri"/>
                <w:color w:val="000000"/>
                <w:sz w:val="16"/>
                <w:szCs w:val="16"/>
                <w:lang w:eastAsia="es-PY"/>
              </w:rPr>
              <w:br/>
              <w:t>Peso: Unidad principal: 7 kg</w:t>
            </w:r>
            <w:r w:rsidRPr="00FC186A">
              <w:rPr>
                <w:rFonts w:eastAsia="Times New Roman" w:cs="Calibri"/>
                <w:color w:val="000000"/>
                <w:sz w:val="16"/>
                <w:szCs w:val="16"/>
                <w:lang w:eastAsia="es-PY"/>
              </w:rPr>
              <w:br/>
              <w:t>Baño calefactor: 3 kg</w:t>
            </w:r>
            <w:r w:rsidRPr="00FC186A">
              <w:rPr>
                <w:rFonts w:eastAsia="Times New Roman" w:cs="Calibri"/>
                <w:color w:val="000000"/>
                <w:sz w:val="16"/>
                <w:szCs w:val="16"/>
                <w:lang w:eastAsia="es-PY"/>
              </w:rPr>
              <w:br/>
              <w:t>Temperatura ambiente admisible 5~40°C.</w:t>
            </w:r>
            <w:r w:rsidRPr="00FC186A">
              <w:rPr>
                <w:rFonts w:eastAsia="Times New Roman" w:cs="Calibri"/>
                <w:color w:val="000000"/>
                <w:sz w:val="16"/>
                <w:szCs w:val="16"/>
                <w:lang w:eastAsia="es-PY"/>
              </w:rPr>
              <w:br/>
              <w:t>Humedad relativa admisible 80% de humedad relativa, Clase de protección IP20, Interfaz USB, Voltaje/Frecuencia 200 V ~ 240 V 50 Hz/60 Hz Fuerza 1245 W</w:t>
            </w:r>
            <w:r w:rsidRPr="00FC186A">
              <w:rPr>
                <w:rFonts w:eastAsia="Times New Roman" w:cs="Calibri"/>
                <w:color w:val="000000"/>
                <w:sz w:val="16"/>
                <w:szCs w:val="16"/>
                <w:lang w:eastAsia="es-PY"/>
              </w:rPr>
              <w:br/>
              <w:t>Productos de apoyo REV100-S+ Bomba de vacío de diafragma VACP- D410+ Controlador de vacío VACC100. Con asistencia técnica y puesta en marcha.-</w:t>
            </w:r>
          </w:p>
        </w:tc>
        <w:tc>
          <w:tcPr>
            <w:tcW w:w="403" w:type="pct"/>
            <w:vAlign w:val="center"/>
            <w:hideMark/>
          </w:tcPr>
          <w:p w14:paraId="560BAD13"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357" w:type="pct"/>
            <w:vAlign w:val="center"/>
            <w:hideMark/>
          </w:tcPr>
          <w:p w14:paraId="18FB95A2"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550" w:type="pct"/>
            <w:vAlign w:val="center"/>
            <w:hideMark/>
          </w:tcPr>
          <w:p w14:paraId="06A838A1"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487" w:type="pct"/>
            <w:vAlign w:val="center"/>
            <w:hideMark/>
          </w:tcPr>
          <w:p w14:paraId="7E91249E"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31.200.000 </w:t>
            </w:r>
          </w:p>
        </w:tc>
        <w:tc>
          <w:tcPr>
            <w:tcW w:w="487" w:type="pct"/>
            <w:vAlign w:val="center"/>
            <w:hideMark/>
          </w:tcPr>
          <w:p w14:paraId="2136C114"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31.200.000 </w:t>
            </w:r>
          </w:p>
        </w:tc>
      </w:tr>
    </w:tbl>
    <w:p w14:paraId="4A11BAE1" w14:textId="18EBA9D8" w:rsidR="00697F7F" w:rsidRDefault="00697F7F" w:rsidP="007943B8">
      <w:pPr>
        <w:pStyle w:val="Tablaconcuadrcula"/>
        <w:pBdr>
          <w:bottom w:val="single" w:sz="4" w:space="1" w:color="auto"/>
        </w:pBdr>
        <w:tabs>
          <w:tab w:val="left" w:pos="284"/>
        </w:tabs>
        <w:spacing w:line="276" w:lineRule="auto"/>
        <w:jc w:val="both"/>
        <w:rPr>
          <w:rFonts w:asciiTheme="majorHAnsi" w:hAnsiTheme="majorHAnsi" w:cstheme="majorHAnsi"/>
          <w:sz w:val="22"/>
          <w:szCs w:val="22"/>
        </w:rPr>
      </w:pPr>
    </w:p>
    <w:p w14:paraId="3DD82984" w14:textId="77777777" w:rsidR="00FC186A" w:rsidRPr="00FC186A" w:rsidRDefault="00FC186A" w:rsidP="00FC186A">
      <w:pPr>
        <w:widowControl w:val="0"/>
        <w:pBdr>
          <w:bottom w:val="single" w:sz="4" w:space="1" w:color="auto"/>
        </w:pBdr>
        <w:tabs>
          <w:tab w:val="left" w:pos="284"/>
        </w:tabs>
        <w:adjustRightInd w:val="0"/>
        <w:spacing w:after="0"/>
        <w:jc w:val="both"/>
        <w:textAlignment w:val="baseline"/>
        <w:rPr>
          <w:rFonts w:asciiTheme="majorHAnsi" w:eastAsia="Times New Roman" w:hAnsiTheme="majorHAnsi" w:cs="Calibr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9"/>
        <w:gridCol w:w="1504"/>
        <w:gridCol w:w="2420"/>
        <w:gridCol w:w="735"/>
        <w:gridCol w:w="645"/>
        <w:gridCol w:w="1006"/>
        <w:gridCol w:w="1108"/>
        <w:gridCol w:w="961"/>
      </w:tblGrid>
      <w:tr w:rsidR="00FC186A" w:rsidRPr="00FC186A" w14:paraId="0A0E49BE" w14:textId="77777777" w:rsidTr="00A82B28">
        <w:trPr>
          <w:trHeight w:val="405"/>
          <w:tblHeader/>
        </w:trPr>
        <w:tc>
          <w:tcPr>
            <w:tcW w:w="0" w:type="auto"/>
            <w:gridSpan w:val="8"/>
            <w:shd w:val="clear" w:color="FFC000" w:fill="FFF2CC"/>
            <w:noWrap/>
            <w:vAlign w:val="center"/>
            <w:hideMark/>
          </w:tcPr>
          <w:p w14:paraId="28BD87C5"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PROYECTO PINV01-91</w:t>
            </w:r>
          </w:p>
        </w:tc>
      </w:tr>
      <w:tr w:rsidR="00FC186A" w:rsidRPr="00FC186A" w14:paraId="1C75CA2E" w14:textId="77777777" w:rsidTr="00A82B28">
        <w:trPr>
          <w:trHeight w:val="795"/>
          <w:tblHeader/>
        </w:trPr>
        <w:tc>
          <w:tcPr>
            <w:tcW w:w="0" w:type="auto"/>
            <w:shd w:val="clear" w:color="F7CAAC" w:fill="F7CAAC"/>
            <w:vAlign w:val="center"/>
            <w:hideMark/>
          </w:tcPr>
          <w:p w14:paraId="612FA1D6"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Ítem N° </w:t>
            </w:r>
          </w:p>
        </w:tc>
        <w:tc>
          <w:tcPr>
            <w:tcW w:w="0" w:type="auto"/>
            <w:shd w:val="clear" w:color="F7CAAC" w:fill="F7CAAC"/>
            <w:noWrap/>
            <w:vAlign w:val="center"/>
            <w:hideMark/>
          </w:tcPr>
          <w:p w14:paraId="7B608833"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Descripción del bien</w:t>
            </w:r>
          </w:p>
        </w:tc>
        <w:tc>
          <w:tcPr>
            <w:tcW w:w="0" w:type="auto"/>
            <w:shd w:val="clear" w:color="F7CAAC" w:fill="F7CAAC"/>
            <w:noWrap/>
            <w:vAlign w:val="center"/>
            <w:hideMark/>
          </w:tcPr>
          <w:p w14:paraId="4155F73A"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Especificaciones técnicas</w:t>
            </w:r>
          </w:p>
        </w:tc>
        <w:tc>
          <w:tcPr>
            <w:tcW w:w="0" w:type="auto"/>
            <w:shd w:val="clear" w:color="F7CAAC" w:fill="F7CAAC"/>
            <w:vAlign w:val="center"/>
            <w:hideMark/>
          </w:tcPr>
          <w:p w14:paraId="19FA38B9"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Cantidad </w:t>
            </w:r>
          </w:p>
        </w:tc>
        <w:tc>
          <w:tcPr>
            <w:tcW w:w="0" w:type="auto"/>
            <w:shd w:val="clear" w:color="F7CAAC" w:fill="F7CAAC"/>
            <w:vAlign w:val="center"/>
            <w:hideMark/>
          </w:tcPr>
          <w:p w14:paraId="2F5EE414"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Unidad de medida </w:t>
            </w:r>
          </w:p>
        </w:tc>
        <w:tc>
          <w:tcPr>
            <w:tcW w:w="0" w:type="auto"/>
            <w:shd w:val="clear" w:color="F7CAAC" w:fill="F7CAAC"/>
            <w:vAlign w:val="center"/>
            <w:hideMark/>
          </w:tcPr>
          <w:p w14:paraId="6660A90E"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Presentación </w:t>
            </w:r>
          </w:p>
        </w:tc>
        <w:tc>
          <w:tcPr>
            <w:tcW w:w="0" w:type="auto"/>
            <w:shd w:val="clear" w:color="F7CAAC" w:fill="F7CAAC"/>
            <w:vAlign w:val="center"/>
            <w:hideMark/>
          </w:tcPr>
          <w:p w14:paraId="25427D77"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 Precio Unitario Referencial (IVA INCLUIDO) </w:t>
            </w:r>
          </w:p>
        </w:tc>
        <w:tc>
          <w:tcPr>
            <w:tcW w:w="0" w:type="auto"/>
            <w:shd w:val="clear" w:color="F7CAAC" w:fill="F7CAAC"/>
            <w:vAlign w:val="center"/>
            <w:hideMark/>
          </w:tcPr>
          <w:p w14:paraId="02D40FFB"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 Precio Total Referencial (IVA INCLUIDO) </w:t>
            </w:r>
          </w:p>
        </w:tc>
      </w:tr>
      <w:tr w:rsidR="00FC186A" w:rsidRPr="00FC186A" w14:paraId="7661D31A" w14:textId="77777777" w:rsidTr="00A82B28">
        <w:trPr>
          <w:trHeight w:val="1104"/>
        </w:trPr>
        <w:tc>
          <w:tcPr>
            <w:tcW w:w="0" w:type="auto"/>
            <w:shd w:val="clear" w:color="F7CAAC" w:fill="FFFFFF"/>
            <w:vAlign w:val="center"/>
            <w:hideMark/>
          </w:tcPr>
          <w:p w14:paraId="6DDA10D1" w14:textId="76F5C4D4"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3</w:t>
            </w:r>
            <w:r>
              <w:rPr>
                <w:rFonts w:eastAsia="Times New Roman" w:cs="Calibri"/>
                <w:color w:val="000000"/>
                <w:sz w:val="16"/>
                <w:szCs w:val="16"/>
                <w:lang w:eastAsia="es-PY"/>
              </w:rPr>
              <w:t>6</w:t>
            </w:r>
          </w:p>
        </w:tc>
        <w:tc>
          <w:tcPr>
            <w:tcW w:w="0" w:type="auto"/>
            <w:shd w:val="clear" w:color="F7CAAC" w:fill="FFFFFF"/>
            <w:vAlign w:val="center"/>
            <w:hideMark/>
          </w:tcPr>
          <w:p w14:paraId="61C4050E"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Placas para cultivo celular de superficie no tratada, esteriles de 96 pocillos</w:t>
            </w:r>
          </w:p>
        </w:tc>
        <w:tc>
          <w:tcPr>
            <w:tcW w:w="0" w:type="auto"/>
            <w:shd w:val="clear" w:color="F7CAAC" w:fill="FFFFFF"/>
            <w:vAlign w:val="center"/>
            <w:hideMark/>
          </w:tcPr>
          <w:p w14:paraId="3802CFEA"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96 pocillos. Orificio redondo. Fondo redondo. Poliestireno USP Clase 6. Sin DNasa, sin RNasa, apirógeno, sin endotoxinas, sin citotoxicidad. Esterilizado por irradiación, SAL-10-6. Paquete individual, estéril. Con Tapa.</w:t>
            </w:r>
          </w:p>
        </w:tc>
        <w:tc>
          <w:tcPr>
            <w:tcW w:w="0" w:type="auto"/>
            <w:shd w:val="clear" w:color="F7CAAC" w:fill="FFFFFF"/>
            <w:vAlign w:val="center"/>
            <w:hideMark/>
          </w:tcPr>
          <w:p w14:paraId="5EEF1813"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400</w:t>
            </w:r>
          </w:p>
        </w:tc>
        <w:tc>
          <w:tcPr>
            <w:tcW w:w="0" w:type="auto"/>
            <w:shd w:val="clear" w:color="F7CAAC" w:fill="FFFFFF"/>
            <w:vAlign w:val="center"/>
            <w:hideMark/>
          </w:tcPr>
          <w:p w14:paraId="157B897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3F5557AC"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paquete </w:t>
            </w:r>
          </w:p>
        </w:tc>
        <w:tc>
          <w:tcPr>
            <w:tcW w:w="0" w:type="auto"/>
            <w:shd w:val="clear" w:color="F7CAAC" w:fill="FFFFFF"/>
            <w:vAlign w:val="center"/>
            <w:hideMark/>
          </w:tcPr>
          <w:p w14:paraId="4811393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20.000 </w:t>
            </w:r>
          </w:p>
        </w:tc>
        <w:tc>
          <w:tcPr>
            <w:tcW w:w="0" w:type="auto"/>
            <w:shd w:val="clear" w:color="F7CAAC" w:fill="FFFFFF"/>
            <w:vAlign w:val="center"/>
            <w:hideMark/>
          </w:tcPr>
          <w:p w14:paraId="57CD3472"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8.000.000 </w:t>
            </w:r>
          </w:p>
        </w:tc>
      </w:tr>
      <w:tr w:rsidR="00FC186A" w:rsidRPr="00FC186A" w14:paraId="47247A77" w14:textId="77777777" w:rsidTr="00A82B28">
        <w:trPr>
          <w:trHeight w:val="2535"/>
        </w:trPr>
        <w:tc>
          <w:tcPr>
            <w:tcW w:w="0" w:type="auto"/>
            <w:shd w:val="clear" w:color="F7CAAC" w:fill="FFFFFF"/>
            <w:vAlign w:val="center"/>
            <w:hideMark/>
          </w:tcPr>
          <w:p w14:paraId="21EC768C" w14:textId="301FDAAF"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lastRenderedPageBreak/>
              <w:t>3</w:t>
            </w:r>
            <w:r>
              <w:rPr>
                <w:rFonts w:eastAsia="Times New Roman" w:cs="Calibri"/>
                <w:color w:val="000000"/>
                <w:sz w:val="16"/>
                <w:szCs w:val="16"/>
                <w:lang w:eastAsia="es-PY"/>
              </w:rPr>
              <w:t>7</w:t>
            </w:r>
          </w:p>
        </w:tc>
        <w:tc>
          <w:tcPr>
            <w:tcW w:w="0" w:type="auto"/>
            <w:shd w:val="clear" w:color="F7CAAC" w:fill="FFFFFF"/>
            <w:vAlign w:val="center"/>
            <w:hideMark/>
          </w:tcPr>
          <w:p w14:paraId="078C9422"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Cámara de recuento celular tipo neubauer</w:t>
            </w:r>
          </w:p>
        </w:tc>
        <w:tc>
          <w:tcPr>
            <w:tcW w:w="0" w:type="auto"/>
            <w:shd w:val="clear" w:color="F7CAAC" w:fill="FFFFFF"/>
            <w:vAlign w:val="center"/>
            <w:hideMark/>
          </w:tcPr>
          <w:p w14:paraId="371B8377"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Profundidad de camara 0.1 mm; area de la reticula 1 milimetro cuadrado; con division de reticula de 9 cuadrados medianos; con cada cuadrado grande subdividido en 16 cuadrados medianos; subdivision interna que genera hasta 400 cuadrados pequeños por cuadrado grande. Linea de reticula de alta visibilidad; dos areas de conteo independiente por camara; fabricada en vidrio optico de alta transparenci; superficie pulida y grabado de precision; incluyendo dos cubreobjetos; dimensiones 22 x 26 mm. </w:t>
            </w:r>
          </w:p>
        </w:tc>
        <w:tc>
          <w:tcPr>
            <w:tcW w:w="0" w:type="auto"/>
            <w:shd w:val="clear" w:color="F7CAAC" w:fill="FFFFFF"/>
            <w:vAlign w:val="center"/>
            <w:hideMark/>
          </w:tcPr>
          <w:p w14:paraId="358F3F0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4</w:t>
            </w:r>
          </w:p>
        </w:tc>
        <w:tc>
          <w:tcPr>
            <w:tcW w:w="0" w:type="auto"/>
            <w:shd w:val="clear" w:color="F7CAAC" w:fill="FFFFFF"/>
            <w:vAlign w:val="center"/>
            <w:hideMark/>
          </w:tcPr>
          <w:p w14:paraId="5371BE5E"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4DA0F949"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338836E5"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800.000 </w:t>
            </w:r>
          </w:p>
        </w:tc>
        <w:tc>
          <w:tcPr>
            <w:tcW w:w="0" w:type="auto"/>
            <w:shd w:val="clear" w:color="F7CAAC" w:fill="FFFFFF"/>
            <w:vAlign w:val="center"/>
            <w:hideMark/>
          </w:tcPr>
          <w:p w14:paraId="0BAEACB6"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3.200.000 </w:t>
            </w:r>
          </w:p>
        </w:tc>
      </w:tr>
      <w:tr w:rsidR="00FC186A" w:rsidRPr="00FC186A" w14:paraId="4314EACC" w14:textId="77777777" w:rsidTr="00A82B28">
        <w:trPr>
          <w:trHeight w:val="795"/>
        </w:trPr>
        <w:tc>
          <w:tcPr>
            <w:tcW w:w="0" w:type="auto"/>
            <w:shd w:val="clear" w:color="F7CAAC" w:fill="FFFFFF"/>
            <w:vAlign w:val="center"/>
            <w:hideMark/>
          </w:tcPr>
          <w:p w14:paraId="5D7AF17C" w14:textId="365CF8F8"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3</w:t>
            </w:r>
            <w:r>
              <w:rPr>
                <w:rFonts w:eastAsia="Times New Roman" w:cs="Calibri"/>
                <w:color w:val="000000"/>
                <w:sz w:val="16"/>
                <w:szCs w:val="16"/>
                <w:lang w:eastAsia="es-PY"/>
              </w:rPr>
              <w:t>8</w:t>
            </w:r>
          </w:p>
        </w:tc>
        <w:tc>
          <w:tcPr>
            <w:tcW w:w="0" w:type="auto"/>
            <w:shd w:val="clear" w:color="F7CAAC" w:fill="FFFFFF"/>
            <w:noWrap/>
            <w:vAlign w:val="center"/>
            <w:hideMark/>
          </w:tcPr>
          <w:p w14:paraId="508EFC1C"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Heladera</w:t>
            </w:r>
          </w:p>
        </w:tc>
        <w:tc>
          <w:tcPr>
            <w:tcW w:w="0" w:type="auto"/>
            <w:shd w:val="clear" w:color="F7CAAC" w:fill="FFFFFF"/>
            <w:noWrap/>
            <w:vAlign w:val="center"/>
            <w:hideMark/>
          </w:tcPr>
          <w:p w14:paraId="186AA4C0"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Capacidad 76 litros, frio humedo </w:t>
            </w:r>
          </w:p>
        </w:tc>
        <w:tc>
          <w:tcPr>
            <w:tcW w:w="0" w:type="auto"/>
            <w:shd w:val="clear" w:color="F7CAAC" w:fill="FFFFFF"/>
            <w:vAlign w:val="center"/>
            <w:hideMark/>
          </w:tcPr>
          <w:p w14:paraId="4E3F26C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0" w:type="auto"/>
            <w:shd w:val="clear" w:color="F7CAAC" w:fill="FFFFFF"/>
            <w:vAlign w:val="center"/>
            <w:hideMark/>
          </w:tcPr>
          <w:p w14:paraId="67BF6FA4"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362ACE21"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2332A2E1"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2.531.725 </w:t>
            </w:r>
          </w:p>
        </w:tc>
        <w:tc>
          <w:tcPr>
            <w:tcW w:w="0" w:type="auto"/>
            <w:shd w:val="clear" w:color="F7CAAC" w:fill="FFFFFF"/>
            <w:vAlign w:val="center"/>
            <w:hideMark/>
          </w:tcPr>
          <w:p w14:paraId="689F51E0"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2.531.725 </w:t>
            </w:r>
          </w:p>
        </w:tc>
      </w:tr>
      <w:tr w:rsidR="00FC186A" w:rsidRPr="00FC186A" w14:paraId="45D045EA" w14:textId="77777777" w:rsidTr="00A82B28">
        <w:trPr>
          <w:trHeight w:val="2025"/>
        </w:trPr>
        <w:tc>
          <w:tcPr>
            <w:tcW w:w="0" w:type="auto"/>
            <w:shd w:val="clear" w:color="F7CAAC" w:fill="FFFFFF"/>
            <w:vAlign w:val="center"/>
            <w:hideMark/>
          </w:tcPr>
          <w:p w14:paraId="14806795" w14:textId="3F9477A6"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3</w:t>
            </w:r>
            <w:r>
              <w:rPr>
                <w:rFonts w:eastAsia="Times New Roman" w:cs="Calibri"/>
                <w:color w:val="000000"/>
                <w:sz w:val="16"/>
                <w:szCs w:val="16"/>
                <w:lang w:eastAsia="es-PY"/>
              </w:rPr>
              <w:t>9</w:t>
            </w:r>
          </w:p>
        </w:tc>
        <w:tc>
          <w:tcPr>
            <w:tcW w:w="0" w:type="auto"/>
            <w:shd w:val="clear" w:color="F7CAAC" w:fill="FFFFFF"/>
            <w:noWrap/>
            <w:vAlign w:val="center"/>
            <w:hideMark/>
          </w:tcPr>
          <w:p w14:paraId="1D127FF2"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Baño Seco Digital</w:t>
            </w:r>
          </w:p>
        </w:tc>
        <w:tc>
          <w:tcPr>
            <w:tcW w:w="0" w:type="auto"/>
            <w:shd w:val="clear" w:color="F7CAAC" w:fill="FFFFFF"/>
            <w:vAlign w:val="center"/>
            <w:hideMark/>
          </w:tcPr>
          <w:p w14:paraId="69C31EF5"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Control digital de la temperatura de 5 a 105 grados, temporizador de temperatura de hasta 48 horas continuo, garantia incluida y tension de alimentacion de 220 V. Tapa abatible, Disponible con bloques universales Quick-Flip (admite todos los tamaños de tubo habituales, tiras de PCR y placas de PCR)</w:t>
            </w:r>
          </w:p>
        </w:tc>
        <w:tc>
          <w:tcPr>
            <w:tcW w:w="0" w:type="auto"/>
            <w:shd w:val="clear" w:color="F7CAAC" w:fill="FFFFFF"/>
            <w:vAlign w:val="center"/>
            <w:hideMark/>
          </w:tcPr>
          <w:p w14:paraId="7D87981C"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0" w:type="auto"/>
            <w:shd w:val="clear" w:color="F7CAAC" w:fill="FFFFFF"/>
            <w:vAlign w:val="center"/>
            <w:hideMark/>
          </w:tcPr>
          <w:p w14:paraId="55E354B8"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 </w:t>
            </w:r>
          </w:p>
        </w:tc>
        <w:tc>
          <w:tcPr>
            <w:tcW w:w="0" w:type="auto"/>
            <w:shd w:val="clear" w:color="F7CAAC" w:fill="FFFFFF"/>
            <w:vAlign w:val="center"/>
            <w:hideMark/>
          </w:tcPr>
          <w:p w14:paraId="0D35FC13"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6B142796"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13.000.000 </w:t>
            </w:r>
          </w:p>
        </w:tc>
        <w:tc>
          <w:tcPr>
            <w:tcW w:w="0" w:type="auto"/>
            <w:shd w:val="clear" w:color="F7CAAC" w:fill="FFFFFF"/>
            <w:vAlign w:val="center"/>
            <w:hideMark/>
          </w:tcPr>
          <w:p w14:paraId="7F3F98A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13.000.000 </w:t>
            </w:r>
          </w:p>
        </w:tc>
      </w:tr>
      <w:tr w:rsidR="00FC186A" w:rsidRPr="00FC186A" w14:paraId="2F086A0D" w14:textId="77777777" w:rsidTr="00A82B28">
        <w:trPr>
          <w:trHeight w:val="795"/>
        </w:trPr>
        <w:tc>
          <w:tcPr>
            <w:tcW w:w="0" w:type="auto"/>
            <w:shd w:val="clear" w:color="F7CAAC" w:fill="FFFFFF"/>
            <w:vAlign w:val="center"/>
            <w:hideMark/>
          </w:tcPr>
          <w:p w14:paraId="6216F69A" w14:textId="63BC3BDD" w:rsidR="00FC186A" w:rsidRPr="00FC186A" w:rsidRDefault="00FC186A" w:rsidP="00FC186A">
            <w:pPr>
              <w:spacing w:after="0" w:line="240" w:lineRule="auto"/>
              <w:jc w:val="center"/>
              <w:rPr>
                <w:rFonts w:eastAsia="Times New Roman" w:cs="Calibri"/>
                <w:color w:val="000000"/>
                <w:sz w:val="16"/>
                <w:szCs w:val="16"/>
                <w:lang w:eastAsia="es-PY"/>
              </w:rPr>
            </w:pPr>
            <w:r>
              <w:rPr>
                <w:rFonts w:eastAsia="Times New Roman" w:cs="Calibri"/>
                <w:color w:val="000000"/>
                <w:sz w:val="16"/>
                <w:szCs w:val="16"/>
                <w:lang w:eastAsia="es-PY"/>
              </w:rPr>
              <w:t>40</w:t>
            </w:r>
          </w:p>
        </w:tc>
        <w:tc>
          <w:tcPr>
            <w:tcW w:w="0" w:type="auto"/>
            <w:shd w:val="clear" w:color="F7CAAC" w:fill="FFFFFF"/>
            <w:vAlign w:val="center"/>
            <w:hideMark/>
          </w:tcPr>
          <w:p w14:paraId="25FF4E8F"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Rotor para centrífuga</w:t>
            </w:r>
          </w:p>
        </w:tc>
        <w:tc>
          <w:tcPr>
            <w:tcW w:w="0" w:type="auto"/>
            <w:shd w:val="clear" w:color="F7CAAC" w:fill="FFFFFF"/>
            <w:vAlign w:val="center"/>
            <w:hideMark/>
          </w:tcPr>
          <w:p w14:paraId="4E758AE8"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Para 8 tubos de 15 ml, tubo de fondo afilado. Con adaptadores para tubo de fondo afilado de 5 ml</w:t>
            </w:r>
          </w:p>
        </w:tc>
        <w:tc>
          <w:tcPr>
            <w:tcW w:w="0" w:type="auto"/>
            <w:shd w:val="clear" w:color="F7CAAC" w:fill="FFFFFF"/>
            <w:vAlign w:val="center"/>
            <w:hideMark/>
          </w:tcPr>
          <w:p w14:paraId="0E5EC0A6"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0" w:type="auto"/>
            <w:shd w:val="clear" w:color="F7CAAC" w:fill="FFFFFF"/>
            <w:vAlign w:val="center"/>
            <w:hideMark/>
          </w:tcPr>
          <w:p w14:paraId="6411560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081E2D74"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08C265A1"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6.775.000 </w:t>
            </w:r>
          </w:p>
        </w:tc>
        <w:tc>
          <w:tcPr>
            <w:tcW w:w="0" w:type="auto"/>
            <w:shd w:val="clear" w:color="F7CAAC" w:fill="FFFFFF"/>
            <w:vAlign w:val="center"/>
            <w:hideMark/>
          </w:tcPr>
          <w:p w14:paraId="24C1849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6.775.000 </w:t>
            </w:r>
          </w:p>
        </w:tc>
      </w:tr>
      <w:tr w:rsidR="00FC186A" w:rsidRPr="00FC186A" w14:paraId="5BF54C44" w14:textId="77777777" w:rsidTr="00A82B28">
        <w:trPr>
          <w:trHeight w:val="5820"/>
        </w:trPr>
        <w:tc>
          <w:tcPr>
            <w:tcW w:w="0" w:type="auto"/>
            <w:shd w:val="clear" w:color="F7CAAC" w:fill="FFFFFF"/>
            <w:vAlign w:val="center"/>
            <w:hideMark/>
          </w:tcPr>
          <w:p w14:paraId="70D93C5A" w14:textId="76A64020" w:rsidR="00FC186A" w:rsidRPr="00FC186A" w:rsidRDefault="00FC186A" w:rsidP="00FC186A">
            <w:pPr>
              <w:spacing w:after="0" w:line="240" w:lineRule="auto"/>
              <w:jc w:val="center"/>
              <w:rPr>
                <w:rFonts w:eastAsia="Times New Roman" w:cs="Calibri"/>
                <w:color w:val="000000"/>
                <w:sz w:val="16"/>
                <w:szCs w:val="16"/>
                <w:lang w:eastAsia="es-PY"/>
              </w:rPr>
            </w:pPr>
            <w:r>
              <w:rPr>
                <w:rFonts w:eastAsia="Times New Roman" w:cs="Calibri"/>
                <w:color w:val="000000"/>
                <w:sz w:val="16"/>
                <w:szCs w:val="16"/>
                <w:lang w:eastAsia="es-PY"/>
              </w:rPr>
              <w:t>41</w:t>
            </w:r>
          </w:p>
        </w:tc>
        <w:tc>
          <w:tcPr>
            <w:tcW w:w="0" w:type="auto"/>
            <w:shd w:val="clear" w:color="F7CAAC" w:fill="FFFFFF"/>
            <w:vAlign w:val="center"/>
            <w:hideMark/>
          </w:tcPr>
          <w:p w14:paraId="58ED3B69"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Lector de Microplacas Multimodo UV-Visible con Accesorio para Microvolúmenes</w:t>
            </w:r>
          </w:p>
        </w:tc>
        <w:tc>
          <w:tcPr>
            <w:tcW w:w="0" w:type="auto"/>
            <w:shd w:val="clear" w:color="F7CAAC" w:fill="FFFFFF"/>
            <w:vAlign w:val="center"/>
            <w:hideMark/>
          </w:tcPr>
          <w:p w14:paraId="200D0895"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Sistema óptico basado en monocromador, con selección continua de longitud de onda, sin necesidad de filtros intercambiables.  Rango espectral de lectura de 200 a 1000 nm o superior, con ajuste de longitud de onda en incrementos de 1 nm o menores.  Capacidad de realizar mediciones de absorbancia en microplacas de 6, 12, 24, 48 y 96 pozos.  Compatible con accesorio para análisis de microvolúmenes tipo µDrop Plate o equivalente, permitiendo la cuantificación de ADN, ARN, proteínas y otras biomoléculas con volúmenes mínimos de muestra.  Capacidad de análisis simultáneo de múltiples muestras en microvolumen.  Realización de barridos espectrales completos (full spectrum scan) por pozo.  Escaneo espectral completo en el rango UV-Visible para cada muestra.  Velocidad de lectura capaz de procesar una placa completa de 96 pozos en menos de 10 segundos en modo de lectura estándar. Pantalla táctil integrada para operación autónoma del equipo, sin requerir obligatoriamente una computadora externa.  Software de control y análisis con interfaz gráfica amigable, incluyendo métodos preconfigurados para cuantificación de ADN, ARN y proteínas. Exportación de datos en </w:t>
            </w:r>
            <w:r w:rsidRPr="00FC186A">
              <w:rPr>
                <w:rFonts w:eastAsia="Times New Roman" w:cs="Calibri"/>
                <w:color w:val="000000"/>
                <w:sz w:val="16"/>
                <w:szCs w:val="16"/>
                <w:lang w:eastAsia="es-PY"/>
              </w:rPr>
              <w:lastRenderedPageBreak/>
              <w:t>formatos compatibles con hojas de cálculo y sistemas de gestión de datos. Conectividad mediante puertos USB, Ethernet y/o Wi-Fi. Capacidad de integración con plataformas de almacenamiento en la nube o servidores remotos. Sistema de incubación con control de temperatura integrado.  Función de agitación orbital y/o lineal programable antes y durante las mediciones.  Memoria interna para almacenamiento de protocolos y resultados.  Idiomas de operación y software disponibles como mínimo en español, portugués e inglés. Alimentación eléctrica compatible con 220 V, 50 Hz.  Equipo suministrado con todos los accesorios, cables y licencias necesarios para su funcionamiento inmediato.  Accesorios incluidos: Placa para microvolúmenes tipo *µDrop Plate* o equivalente. Software de adquisición y análisis de datos con licencia permanente. Manuales de operación y mantenimiento en formato digital. Certificado de calibración y garantía mínima de 12 meses.</w:t>
            </w:r>
          </w:p>
        </w:tc>
        <w:tc>
          <w:tcPr>
            <w:tcW w:w="0" w:type="auto"/>
            <w:shd w:val="clear" w:color="F7CAAC" w:fill="FFFFFF"/>
            <w:vAlign w:val="center"/>
            <w:hideMark/>
          </w:tcPr>
          <w:p w14:paraId="2F0F0303"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lastRenderedPageBreak/>
              <w:t>1</w:t>
            </w:r>
          </w:p>
        </w:tc>
        <w:tc>
          <w:tcPr>
            <w:tcW w:w="0" w:type="auto"/>
            <w:shd w:val="clear" w:color="F7CAAC" w:fill="FFFFFF"/>
            <w:vAlign w:val="center"/>
            <w:hideMark/>
          </w:tcPr>
          <w:p w14:paraId="6DF35D7C"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2C563E42"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039F2626"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w:t>
            </w:r>
          </w:p>
        </w:tc>
        <w:tc>
          <w:tcPr>
            <w:tcW w:w="0" w:type="auto"/>
            <w:shd w:val="clear" w:color="F7CAAC" w:fill="FFFFFF"/>
            <w:vAlign w:val="center"/>
            <w:hideMark/>
          </w:tcPr>
          <w:p w14:paraId="0B872DD0"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150.000.000 </w:t>
            </w:r>
          </w:p>
        </w:tc>
      </w:tr>
      <w:tr w:rsidR="00FC186A" w:rsidRPr="00FC186A" w14:paraId="24F50A13" w14:textId="77777777" w:rsidTr="00A82B28">
        <w:trPr>
          <w:trHeight w:val="1365"/>
        </w:trPr>
        <w:tc>
          <w:tcPr>
            <w:tcW w:w="0" w:type="auto"/>
            <w:shd w:val="clear" w:color="F7CAAC" w:fill="FFFFFF"/>
            <w:vAlign w:val="center"/>
            <w:hideMark/>
          </w:tcPr>
          <w:p w14:paraId="6C7BC662" w14:textId="3A963573"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4</w:t>
            </w:r>
            <w:r>
              <w:rPr>
                <w:rFonts w:eastAsia="Times New Roman" w:cs="Calibri"/>
                <w:color w:val="000000"/>
                <w:sz w:val="16"/>
                <w:szCs w:val="16"/>
                <w:lang w:eastAsia="es-PY"/>
              </w:rPr>
              <w:t>2</w:t>
            </w:r>
          </w:p>
        </w:tc>
        <w:tc>
          <w:tcPr>
            <w:tcW w:w="0" w:type="auto"/>
            <w:shd w:val="clear" w:color="F7CAAC" w:fill="FFFFFF"/>
            <w:vAlign w:val="center"/>
            <w:hideMark/>
          </w:tcPr>
          <w:p w14:paraId="63769D34"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 xml:space="preserve">Espectrofotometro para microvolumenes </w:t>
            </w:r>
          </w:p>
        </w:tc>
        <w:tc>
          <w:tcPr>
            <w:tcW w:w="0" w:type="auto"/>
            <w:shd w:val="clear" w:color="F7CAAC" w:fill="FFFFFF"/>
            <w:vAlign w:val="center"/>
            <w:hideMark/>
          </w:tcPr>
          <w:p w14:paraId="5879BA9E"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cs="Calibri"/>
                <w:color w:val="000000"/>
                <w:sz w:val="16"/>
                <w:szCs w:val="16"/>
                <w:lang w:eastAsia="es-PY"/>
              </w:rPr>
              <w:t>Espectrofotometro para microvolumenes para la cuantificación de ácidos nucleicos (ADN y ARN), basado en medición de absorbancia UV-Vis. Permite analizar muestras de bajo volumen (≈1–2 µL) sin cubetas. Rango espectral aproximado de 200–800 nm, con alta precisión y rapidez. Equipo compacto, con pantalla integrada y software para cálculo de concentración y pureza (A260/A280). Ideal para aplicaciones de biología molecular.</w:t>
            </w:r>
          </w:p>
        </w:tc>
        <w:tc>
          <w:tcPr>
            <w:tcW w:w="0" w:type="auto"/>
            <w:shd w:val="clear" w:color="F7CAAC" w:fill="FFFFFF"/>
            <w:vAlign w:val="center"/>
            <w:hideMark/>
          </w:tcPr>
          <w:p w14:paraId="50F91A5C"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0" w:type="auto"/>
            <w:shd w:val="clear" w:color="F7CAAC" w:fill="FFFFFF"/>
            <w:vAlign w:val="center"/>
            <w:hideMark/>
          </w:tcPr>
          <w:p w14:paraId="7F7528E3"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4CAE9B21"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7CAAC" w:fill="FFFFFF"/>
            <w:vAlign w:val="center"/>
            <w:hideMark/>
          </w:tcPr>
          <w:p w14:paraId="618214D5"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66.000.000 </w:t>
            </w:r>
          </w:p>
        </w:tc>
        <w:tc>
          <w:tcPr>
            <w:tcW w:w="0" w:type="auto"/>
            <w:shd w:val="clear" w:color="F7CAAC" w:fill="FFFFFF"/>
            <w:vAlign w:val="center"/>
            <w:hideMark/>
          </w:tcPr>
          <w:p w14:paraId="56661308"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66.000.000 </w:t>
            </w:r>
          </w:p>
        </w:tc>
      </w:tr>
    </w:tbl>
    <w:p w14:paraId="67905184" w14:textId="77777777" w:rsidR="00FC186A" w:rsidRPr="00FC186A" w:rsidRDefault="00FC186A" w:rsidP="00FC186A">
      <w:pPr>
        <w:widowControl w:val="0"/>
        <w:pBdr>
          <w:bottom w:val="single" w:sz="4" w:space="1" w:color="auto"/>
        </w:pBdr>
        <w:tabs>
          <w:tab w:val="left" w:pos="284"/>
        </w:tabs>
        <w:adjustRightInd w:val="0"/>
        <w:spacing w:after="0"/>
        <w:jc w:val="both"/>
        <w:textAlignment w:val="baseline"/>
        <w:rPr>
          <w:rFonts w:asciiTheme="majorHAnsi" w:eastAsia="Times New Roman" w:hAnsiTheme="majorHAnsi" w:cs="Calibri Ligh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
        <w:gridCol w:w="1332"/>
        <w:gridCol w:w="2594"/>
        <w:gridCol w:w="735"/>
        <w:gridCol w:w="660"/>
        <w:gridCol w:w="1006"/>
        <w:gridCol w:w="1104"/>
        <w:gridCol w:w="942"/>
      </w:tblGrid>
      <w:tr w:rsidR="00FC186A" w:rsidRPr="00FC186A" w14:paraId="1EA592C2" w14:textId="77777777" w:rsidTr="00A82B28">
        <w:trPr>
          <w:trHeight w:val="285"/>
          <w:tblHeader/>
        </w:trPr>
        <w:tc>
          <w:tcPr>
            <w:tcW w:w="0" w:type="auto"/>
            <w:gridSpan w:val="8"/>
            <w:shd w:val="clear" w:color="F4B083" w:fill="FFD966"/>
            <w:noWrap/>
            <w:vAlign w:val="center"/>
            <w:hideMark/>
          </w:tcPr>
          <w:p w14:paraId="26943442"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PROYECTO - PINV01-110</w:t>
            </w:r>
          </w:p>
        </w:tc>
      </w:tr>
      <w:tr w:rsidR="00FC186A" w:rsidRPr="00FC186A" w14:paraId="2F39E452" w14:textId="77777777" w:rsidTr="00A82B28">
        <w:trPr>
          <w:trHeight w:val="1380"/>
          <w:tblHeader/>
        </w:trPr>
        <w:tc>
          <w:tcPr>
            <w:tcW w:w="0" w:type="auto"/>
            <w:shd w:val="clear" w:color="F7CAAC" w:fill="FFD966"/>
            <w:vAlign w:val="center"/>
            <w:hideMark/>
          </w:tcPr>
          <w:p w14:paraId="50FBDA97"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Ítem N° </w:t>
            </w:r>
          </w:p>
        </w:tc>
        <w:tc>
          <w:tcPr>
            <w:tcW w:w="0" w:type="auto"/>
            <w:shd w:val="clear" w:color="F7CAAC" w:fill="FFD966"/>
            <w:vAlign w:val="center"/>
            <w:hideMark/>
          </w:tcPr>
          <w:p w14:paraId="68FDC2F2" w14:textId="77777777" w:rsidR="00FC186A" w:rsidRPr="00FC186A" w:rsidRDefault="00FC186A" w:rsidP="00FC186A">
            <w:pPr>
              <w:spacing w:after="0" w:line="240" w:lineRule="auto"/>
              <w:rPr>
                <w:rFonts w:eastAsia="Times New Roman" w:cs="Calibri"/>
                <w:b/>
                <w:bCs/>
                <w:color w:val="000000"/>
                <w:sz w:val="16"/>
                <w:szCs w:val="16"/>
                <w:lang w:eastAsia="es-PY"/>
              </w:rPr>
            </w:pPr>
            <w:r w:rsidRPr="00FC186A">
              <w:rPr>
                <w:rFonts w:eastAsia="Times New Roman" w:cs="Calibri"/>
                <w:b/>
                <w:bCs/>
                <w:color w:val="000000"/>
                <w:sz w:val="16"/>
                <w:szCs w:val="16"/>
                <w:lang w:eastAsia="es-PY"/>
              </w:rPr>
              <w:t>Descripción del bien</w:t>
            </w:r>
          </w:p>
        </w:tc>
        <w:tc>
          <w:tcPr>
            <w:tcW w:w="0" w:type="auto"/>
            <w:shd w:val="clear" w:color="F7CAAC" w:fill="FFD966"/>
            <w:noWrap/>
            <w:vAlign w:val="center"/>
            <w:hideMark/>
          </w:tcPr>
          <w:p w14:paraId="6A2CB3ED"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Especificaciones técnicas</w:t>
            </w:r>
          </w:p>
        </w:tc>
        <w:tc>
          <w:tcPr>
            <w:tcW w:w="0" w:type="auto"/>
            <w:shd w:val="clear" w:color="F7CAAC" w:fill="FFD966"/>
            <w:vAlign w:val="center"/>
            <w:hideMark/>
          </w:tcPr>
          <w:p w14:paraId="4FFF6828"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Cantidad </w:t>
            </w:r>
          </w:p>
        </w:tc>
        <w:tc>
          <w:tcPr>
            <w:tcW w:w="0" w:type="auto"/>
            <w:shd w:val="clear" w:color="F7CAAC" w:fill="FFD966"/>
            <w:vAlign w:val="center"/>
            <w:hideMark/>
          </w:tcPr>
          <w:p w14:paraId="144BB74D"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Unidad de medida </w:t>
            </w:r>
          </w:p>
        </w:tc>
        <w:tc>
          <w:tcPr>
            <w:tcW w:w="0" w:type="auto"/>
            <w:shd w:val="clear" w:color="F7CAAC" w:fill="FFD966"/>
            <w:vAlign w:val="center"/>
            <w:hideMark/>
          </w:tcPr>
          <w:p w14:paraId="37C3C69C"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Presentación </w:t>
            </w:r>
          </w:p>
        </w:tc>
        <w:tc>
          <w:tcPr>
            <w:tcW w:w="0" w:type="auto"/>
            <w:shd w:val="clear" w:color="F7CAAC" w:fill="FFD966"/>
            <w:vAlign w:val="center"/>
            <w:hideMark/>
          </w:tcPr>
          <w:p w14:paraId="6CA72D01"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 Precio Unitario Referencial (IVA INCLUIDO) </w:t>
            </w:r>
          </w:p>
        </w:tc>
        <w:tc>
          <w:tcPr>
            <w:tcW w:w="0" w:type="auto"/>
            <w:shd w:val="clear" w:color="F7CAAC" w:fill="FFD966"/>
            <w:vAlign w:val="center"/>
            <w:hideMark/>
          </w:tcPr>
          <w:p w14:paraId="64767380"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 Precio Total Referencial (IVA INCLUIDO) </w:t>
            </w:r>
          </w:p>
        </w:tc>
      </w:tr>
      <w:tr w:rsidR="00FC186A" w:rsidRPr="00FC186A" w14:paraId="0DC6DE3E" w14:textId="77777777" w:rsidTr="00A82B28">
        <w:trPr>
          <w:trHeight w:val="1050"/>
        </w:trPr>
        <w:tc>
          <w:tcPr>
            <w:tcW w:w="0" w:type="auto"/>
            <w:shd w:val="clear" w:color="FFFFFF" w:fill="FFFFFF"/>
            <w:noWrap/>
            <w:vAlign w:val="center"/>
            <w:hideMark/>
          </w:tcPr>
          <w:p w14:paraId="5AF8EA11" w14:textId="5C6BDB21"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4</w:t>
            </w:r>
            <w:r>
              <w:rPr>
                <w:rFonts w:eastAsia="Times New Roman" w:cs="Calibri"/>
                <w:b/>
                <w:bCs/>
                <w:color w:val="000000"/>
                <w:sz w:val="16"/>
                <w:szCs w:val="16"/>
                <w:lang w:eastAsia="es-PY"/>
              </w:rPr>
              <w:t>3</w:t>
            </w:r>
          </w:p>
        </w:tc>
        <w:tc>
          <w:tcPr>
            <w:tcW w:w="0" w:type="auto"/>
            <w:vAlign w:val="center"/>
            <w:hideMark/>
          </w:tcPr>
          <w:p w14:paraId="1A386492"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sz w:val="16"/>
                <w:szCs w:val="16"/>
              </w:rPr>
              <w:t>Procesador de alto rendimiento para estación de trabajo (Workstation)</w:t>
            </w:r>
          </w:p>
        </w:tc>
        <w:tc>
          <w:tcPr>
            <w:tcW w:w="0" w:type="auto"/>
            <w:vAlign w:val="center"/>
            <w:hideMark/>
          </w:tcPr>
          <w:p w14:paraId="0076F914" w14:textId="77777777" w:rsidR="00FC186A" w:rsidRPr="00FC186A" w:rsidRDefault="00FC186A" w:rsidP="00FC186A">
            <w:pPr>
              <w:spacing w:after="0" w:line="240" w:lineRule="auto"/>
              <w:rPr>
                <w:rFonts w:eastAsia="Times New Roman" w:cs="Calibri"/>
                <w:sz w:val="16"/>
                <w:szCs w:val="16"/>
                <w:lang w:eastAsia="es-PY"/>
              </w:rPr>
            </w:pPr>
            <w:r w:rsidRPr="00FC186A">
              <w:rPr>
                <w:rFonts w:eastAsia="Times New Roman"/>
                <w:sz w:val="16"/>
                <w:szCs w:val="16"/>
              </w:rPr>
              <w:t xml:space="preserve">Microprocesador con arquitectura de 64 bits. Mínimo 12 núcleos físicos y 24 hilos de procesamiento (Hyper-Threading/SMT). Frecuencia base mínima de 4.7 GHz y frecuencia turbo hasta 5.6 GHz. Memoria caché total no inferior a 76 MB (L2+L3). Socket compatible con plataforma AM5. Soporte nativo para PCIe 5.0 y memoria DDR5. TDP nominal de 170W. El procesador deberá suministrarse con una solución de refrigeración compatible con sus requerimientos térmicos, capaz de garantizar su funcionamiento continuo dentro de las especificaciones del fabricante. </w:t>
            </w:r>
          </w:p>
        </w:tc>
        <w:tc>
          <w:tcPr>
            <w:tcW w:w="0" w:type="auto"/>
            <w:vAlign w:val="center"/>
            <w:hideMark/>
          </w:tcPr>
          <w:p w14:paraId="6F3E250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0" w:type="auto"/>
            <w:noWrap/>
            <w:vAlign w:val="center"/>
            <w:hideMark/>
          </w:tcPr>
          <w:p w14:paraId="3E1FFA5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 </w:t>
            </w:r>
          </w:p>
        </w:tc>
        <w:tc>
          <w:tcPr>
            <w:tcW w:w="0" w:type="auto"/>
            <w:noWrap/>
            <w:vAlign w:val="center"/>
            <w:hideMark/>
          </w:tcPr>
          <w:p w14:paraId="6BD42E8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 </w:t>
            </w:r>
          </w:p>
        </w:tc>
        <w:tc>
          <w:tcPr>
            <w:tcW w:w="0" w:type="auto"/>
            <w:vAlign w:val="center"/>
            <w:hideMark/>
          </w:tcPr>
          <w:p w14:paraId="4609D718"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3.370.000 </w:t>
            </w:r>
          </w:p>
        </w:tc>
        <w:tc>
          <w:tcPr>
            <w:tcW w:w="0" w:type="auto"/>
            <w:vAlign w:val="center"/>
            <w:hideMark/>
          </w:tcPr>
          <w:p w14:paraId="028D9CD9"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3.370.000 </w:t>
            </w:r>
          </w:p>
        </w:tc>
      </w:tr>
      <w:tr w:rsidR="00FC186A" w:rsidRPr="00FC186A" w14:paraId="4BC353D6" w14:textId="77777777" w:rsidTr="00A82B28">
        <w:trPr>
          <w:trHeight w:val="1155"/>
        </w:trPr>
        <w:tc>
          <w:tcPr>
            <w:tcW w:w="0" w:type="auto"/>
            <w:shd w:val="clear" w:color="FFFFFF" w:fill="FFFFFF"/>
            <w:noWrap/>
            <w:vAlign w:val="center"/>
            <w:hideMark/>
          </w:tcPr>
          <w:p w14:paraId="2148A6DA" w14:textId="2D4E0FBB"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lastRenderedPageBreak/>
              <w:t>4</w:t>
            </w:r>
            <w:r>
              <w:rPr>
                <w:rFonts w:eastAsia="Times New Roman" w:cs="Calibri"/>
                <w:b/>
                <w:bCs/>
                <w:color w:val="000000"/>
                <w:sz w:val="16"/>
                <w:szCs w:val="16"/>
                <w:lang w:eastAsia="es-PY"/>
              </w:rPr>
              <w:t>4</w:t>
            </w:r>
          </w:p>
        </w:tc>
        <w:tc>
          <w:tcPr>
            <w:tcW w:w="0" w:type="auto"/>
            <w:vAlign w:val="center"/>
            <w:hideMark/>
          </w:tcPr>
          <w:p w14:paraId="7B35B7C2"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sz w:val="16"/>
                <w:szCs w:val="16"/>
              </w:rPr>
              <w:t>Módulo de memoria RAM DDR5</w:t>
            </w:r>
          </w:p>
        </w:tc>
        <w:tc>
          <w:tcPr>
            <w:tcW w:w="0" w:type="auto"/>
            <w:vAlign w:val="center"/>
            <w:hideMark/>
          </w:tcPr>
          <w:p w14:paraId="56D78104" w14:textId="77777777" w:rsidR="00FC186A" w:rsidRPr="00FC186A" w:rsidRDefault="00FC186A" w:rsidP="00FC186A">
            <w:pPr>
              <w:spacing w:after="0" w:line="240" w:lineRule="auto"/>
              <w:rPr>
                <w:rFonts w:eastAsia="Times New Roman" w:cs="Calibri"/>
                <w:sz w:val="16"/>
                <w:szCs w:val="16"/>
                <w:lang w:eastAsia="es-PY"/>
              </w:rPr>
            </w:pPr>
            <w:r w:rsidRPr="00FC186A">
              <w:rPr>
                <w:rFonts w:eastAsia="Times New Roman"/>
                <w:sz w:val="16"/>
                <w:szCs w:val="16"/>
              </w:rPr>
              <w:t>Kit de memoria estática de acceso aleatorio tipo DDR5. Capacidad total de 128 GB distribuidos en cuatro módulos de 32 GB DDR5, compatibles con la arquitectura de memoria del procesador ofertado. Velocidad de operación de 5600 MHz. Latencia CL40 o inferior. Voltaje de operación estándar de 1.25V. Soporte para perfiles de sobreaceleración automática (AMD EXPO / Intel XMP 3.0). Formato DIMM de 288 pines.</w:t>
            </w:r>
          </w:p>
        </w:tc>
        <w:tc>
          <w:tcPr>
            <w:tcW w:w="0" w:type="auto"/>
            <w:vAlign w:val="center"/>
            <w:hideMark/>
          </w:tcPr>
          <w:p w14:paraId="247D53E4"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0" w:type="auto"/>
            <w:noWrap/>
            <w:vAlign w:val="center"/>
            <w:hideMark/>
          </w:tcPr>
          <w:p w14:paraId="770818B5"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 </w:t>
            </w:r>
          </w:p>
        </w:tc>
        <w:tc>
          <w:tcPr>
            <w:tcW w:w="0" w:type="auto"/>
            <w:noWrap/>
            <w:vAlign w:val="center"/>
            <w:hideMark/>
          </w:tcPr>
          <w:p w14:paraId="0CA8D184"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 </w:t>
            </w:r>
          </w:p>
        </w:tc>
        <w:tc>
          <w:tcPr>
            <w:tcW w:w="0" w:type="auto"/>
            <w:noWrap/>
            <w:vAlign w:val="center"/>
            <w:hideMark/>
          </w:tcPr>
          <w:p w14:paraId="437A6EDF"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15.585.000 </w:t>
            </w:r>
          </w:p>
        </w:tc>
        <w:tc>
          <w:tcPr>
            <w:tcW w:w="0" w:type="auto"/>
            <w:vAlign w:val="center"/>
            <w:hideMark/>
          </w:tcPr>
          <w:p w14:paraId="4AFC4A83"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15.585.000 </w:t>
            </w:r>
          </w:p>
        </w:tc>
      </w:tr>
      <w:tr w:rsidR="00FC186A" w:rsidRPr="00FC186A" w14:paraId="5C42EDD9" w14:textId="77777777" w:rsidTr="00A82B28">
        <w:trPr>
          <w:trHeight w:val="885"/>
        </w:trPr>
        <w:tc>
          <w:tcPr>
            <w:tcW w:w="0" w:type="auto"/>
            <w:shd w:val="clear" w:color="FFFFFF" w:fill="FFFFFF"/>
            <w:noWrap/>
            <w:vAlign w:val="center"/>
            <w:hideMark/>
          </w:tcPr>
          <w:p w14:paraId="1F742730" w14:textId="6A3318DF"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4</w:t>
            </w:r>
            <w:r>
              <w:rPr>
                <w:rFonts w:eastAsia="Times New Roman" w:cs="Calibri"/>
                <w:b/>
                <w:bCs/>
                <w:color w:val="000000"/>
                <w:sz w:val="16"/>
                <w:szCs w:val="16"/>
                <w:lang w:eastAsia="es-PY"/>
              </w:rPr>
              <w:t>5</w:t>
            </w:r>
          </w:p>
        </w:tc>
        <w:tc>
          <w:tcPr>
            <w:tcW w:w="0" w:type="auto"/>
            <w:vAlign w:val="center"/>
            <w:hideMark/>
          </w:tcPr>
          <w:p w14:paraId="46102C3C"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sz w:val="16"/>
                <w:szCs w:val="16"/>
              </w:rPr>
              <w:t>Unidad de almacenamiento de estado sólido (SSD) NVMe</w:t>
            </w:r>
          </w:p>
        </w:tc>
        <w:tc>
          <w:tcPr>
            <w:tcW w:w="0" w:type="auto"/>
            <w:vAlign w:val="center"/>
            <w:hideMark/>
          </w:tcPr>
          <w:p w14:paraId="757DE4CB"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sz w:val="16"/>
                <w:szCs w:val="16"/>
              </w:rPr>
              <w:t>Unidad de almacenamiento masivo de estado sólido con tecnología de celdas 3D NAND. Capacidad nominal de 2 TB. Interfaz de conexión M.2 mediante bus PCIe 4.0 x4, bajo el protocolo NVMe 1.4 o superior. Rendimiento mínimo requerido: Velocidad de lectura secuencial de 5.000 MB/s y escritura secuencial de 5.000 MB/s..</w:t>
            </w:r>
          </w:p>
        </w:tc>
        <w:tc>
          <w:tcPr>
            <w:tcW w:w="0" w:type="auto"/>
            <w:vAlign w:val="center"/>
            <w:hideMark/>
          </w:tcPr>
          <w:p w14:paraId="79BF2845"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0" w:type="auto"/>
            <w:shd w:val="clear" w:color="FFFFFF" w:fill="FFFFFF"/>
            <w:noWrap/>
            <w:vAlign w:val="center"/>
            <w:hideMark/>
          </w:tcPr>
          <w:p w14:paraId="3578C7E4"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 </w:t>
            </w:r>
          </w:p>
        </w:tc>
        <w:tc>
          <w:tcPr>
            <w:tcW w:w="0" w:type="auto"/>
            <w:shd w:val="clear" w:color="FFFFFF" w:fill="FFFFFF"/>
            <w:noWrap/>
            <w:vAlign w:val="center"/>
            <w:hideMark/>
          </w:tcPr>
          <w:p w14:paraId="75995429"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FFFFF" w:fill="FFFFFF"/>
            <w:noWrap/>
            <w:vAlign w:val="center"/>
            <w:hideMark/>
          </w:tcPr>
          <w:p w14:paraId="163E9D09"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1.660.000 </w:t>
            </w:r>
          </w:p>
        </w:tc>
        <w:tc>
          <w:tcPr>
            <w:tcW w:w="0" w:type="auto"/>
            <w:vAlign w:val="center"/>
            <w:hideMark/>
          </w:tcPr>
          <w:p w14:paraId="7B1B2AB9"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1.660.000 </w:t>
            </w:r>
          </w:p>
        </w:tc>
      </w:tr>
      <w:tr w:rsidR="00FC186A" w:rsidRPr="00FC186A" w14:paraId="13B1885E" w14:textId="77777777" w:rsidTr="00A82B28">
        <w:trPr>
          <w:trHeight w:val="675"/>
        </w:trPr>
        <w:tc>
          <w:tcPr>
            <w:tcW w:w="0" w:type="auto"/>
            <w:shd w:val="clear" w:color="FFFFFF" w:fill="FFFFFF"/>
            <w:noWrap/>
            <w:vAlign w:val="center"/>
            <w:hideMark/>
          </w:tcPr>
          <w:p w14:paraId="0EAB7461" w14:textId="612E2C36"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4</w:t>
            </w:r>
            <w:r>
              <w:rPr>
                <w:rFonts w:eastAsia="Times New Roman" w:cs="Calibri"/>
                <w:b/>
                <w:bCs/>
                <w:color w:val="000000"/>
                <w:sz w:val="16"/>
                <w:szCs w:val="16"/>
                <w:lang w:eastAsia="es-PY"/>
              </w:rPr>
              <w:t>6</w:t>
            </w:r>
          </w:p>
        </w:tc>
        <w:tc>
          <w:tcPr>
            <w:tcW w:w="0" w:type="auto"/>
            <w:vAlign w:val="center"/>
            <w:hideMark/>
          </w:tcPr>
          <w:p w14:paraId="629C58D8"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sz w:val="16"/>
                <w:szCs w:val="16"/>
              </w:rPr>
              <w:t>Tarjeta gráfica dedicada para procesamiento visual y aceleración por GPU</w:t>
            </w:r>
          </w:p>
        </w:tc>
        <w:tc>
          <w:tcPr>
            <w:tcW w:w="0" w:type="auto"/>
            <w:vAlign w:val="center"/>
            <w:hideMark/>
          </w:tcPr>
          <w:p w14:paraId="23094BBC"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sz w:val="16"/>
                <w:szCs w:val="16"/>
              </w:rPr>
              <w:t>Unidad de procesamiento gráfico (GPU) dedicada con arquitectura de microarquitectura actual (equivalente a Ada Lovelace o superior). Mínimo 8 GB de memoria de video dedicada GDDR6. Interfaz de memoria de 128-bit. Conectividad mediante interfaz PCIe 4.0 x8/x16. Salidas de video mínimas: 3x DisplayPort 1.4a y 1x HDMI 2.1a. Soporte de tecnologías por hardware para trazado de rayos (Ray Tracing), aceleración por IA (DLSS 3.0 o equivalente) y codificación de video AV1 por hardware. Consumo energético máximo (TGP) de 115W.</w:t>
            </w:r>
          </w:p>
        </w:tc>
        <w:tc>
          <w:tcPr>
            <w:tcW w:w="0" w:type="auto"/>
            <w:vAlign w:val="center"/>
            <w:hideMark/>
          </w:tcPr>
          <w:p w14:paraId="36AB290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0" w:type="auto"/>
            <w:shd w:val="clear" w:color="FFFFFF" w:fill="FFFFFF"/>
            <w:noWrap/>
            <w:vAlign w:val="center"/>
            <w:hideMark/>
          </w:tcPr>
          <w:p w14:paraId="5F5231E2"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 </w:t>
            </w:r>
          </w:p>
        </w:tc>
        <w:tc>
          <w:tcPr>
            <w:tcW w:w="0" w:type="auto"/>
            <w:shd w:val="clear" w:color="FFFFFF" w:fill="FFFFFF"/>
            <w:noWrap/>
            <w:vAlign w:val="center"/>
            <w:hideMark/>
          </w:tcPr>
          <w:p w14:paraId="6F508F5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 </w:t>
            </w:r>
          </w:p>
        </w:tc>
        <w:tc>
          <w:tcPr>
            <w:tcW w:w="0" w:type="auto"/>
            <w:shd w:val="clear" w:color="FFFFFF" w:fill="FFFFFF"/>
            <w:noWrap/>
            <w:vAlign w:val="center"/>
            <w:hideMark/>
          </w:tcPr>
          <w:p w14:paraId="00987140"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2.910.000 </w:t>
            </w:r>
          </w:p>
        </w:tc>
        <w:tc>
          <w:tcPr>
            <w:tcW w:w="0" w:type="auto"/>
            <w:vAlign w:val="center"/>
            <w:hideMark/>
          </w:tcPr>
          <w:p w14:paraId="733D59F9"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2.910.000 </w:t>
            </w:r>
          </w:p>
        </w:tc>
      </w:tr>
      <w:tr w:rsidR="00FC186A" w:rsidRPr="00FC186A" w14:paraId="7A86770F" w14:textId="77777777" w:rsidTr="00A82B28">
        <w:trPr>
          <w:trHeight w:val="720"/>
        </w:trPr>
        <w:tc>
          <w:tcPr>
            <w:tcW w:w="0" w:type="auto"/>
            <w:shd w:val="clear" w:color="FFFFFF" w:fill="FFFFFF"/>
            <w:noWrap/>
            <w:vAlign w:val="center"/>
            <w:hideMark/>
          </w:tcPr>
          <w:p w14:paraId="1CC9342D" w14:textId="48BA6AF5"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4</w:t>
            </w:r>
            <w:r>
              <w:rPr>
                <w:rFonts w:eastAsia="Times New Roman" w:cs="Calibri"/>
                <w:b/>
                <w:bCs/>
                <w:color w:val="000000"/>
                <w:sz w:val="16"/>
                <w:szCs w:val="16"/>
                <w:lang w:eastAsia="es-PY"/>
              </w:rPr>
              <w:t>7</w:t>
            </w:r>
          </w:p>
        </w:tc>
        <w:tc>
          <w:tcPr>
            <w:tcW w:w="0" w:type="auto"/>
            <w:shd w:val="clear" w:color="FFFFFF" w:fill="FFFFFF"/>
            <w:vAlign w:val="center"/>
            <w:hideMark/>
          </w:tcPr>
          <w:p w14:paraId="6DE35466" w14:textId="77777777" w:rsidR="00FC186A" w:rsidRPr="00FC186A" w:rsidRDefault="00FC186A" w:rsidP="00FC186A">
            <w:pPr>
              <w:spacing w:after="0" w:line="240" w:lineRule="auto"/>
              <w:rPr>
                <w:rFonts w:eastAsia="Times New Roman" w:cs="Calibri"/>
                <w:color w:val="000000"/>
                <w:sz w:val="16"/>
                <w:szCs w:val="16"/>
                <w:lang w:eastAsia="es-PY"/>
              </w:rPr>
            </w:pPr>
            <w:r w:rsidRPr="00FC186A">
              <w:rPr>
                <w:rFonts w:eastAsia="Times New Roman"/>
                <w:sz w:val="16"/>
                <w:szCs w:val="16"/>
              </w:rPr>
              <w:t>Sistema de Alimentación Ininterrumpida (UPS)</w:t>
            </w:r>
          </w:p>
        </w:tc>
        <w:tc>
          <w:tcPr>
            <w:tcW w:w="0" w:type="auto"/>
            <w:vAlign w:val="center"/>
            <w:hideMark/>
          </w:tcPr>
          <w:p w14:paraId="4529B3C8" w14:textId="77777777" w:rsidR="00FC186A" w:rsidRPr="00FC186A" w:rsidRDefault="00FC186A" w:rsidP="00FC186A">
            <w:pPr>
              <w:jc w:val="both"/>
              <w:rPr>
                <w:rFonts w:eastAsia="Times New Roman"/>
                <w:sz w:val="16"/>
                <w:szCs w:val="16"/>
              </w:rPr>
            </w:pPr>
            <w:r w:rsidRPr="00FC186A">
              <w:rPr>
                <w:rFonts w:eastAsia="Times New Roman"/>
                <w:sz w:val="16"/>
                <w:szCs w:val="16"/>
              </w:rPr>
              <w:t>Sistema de protección y respaldo de energía con capacidad nominal de 2000 VA / 1200 W mínimo. Topología Línea Interactiva con Regulador Automático de Voltaje (AVR) integrado para corregir fluctuaciones de alta y baja tensión sin descargar la batería.</w:t>
            </w:r>
          </w:p>
          <w:p w14:paraId="6BE2DAB1" w14:textId="77777777" w:rsidR="00FC186A" w:rsidRPr="00FC186A" w:rsidRDefault="00FC186A" w:rsidP="00FC186A">
            <w:pPr>
              <w:spacing w:after="0" w:line="240" w:lineRule="auto"/>
              <w:rPr>
                <w:rFonts w:eastAsia="Times New Roman" w:cs="Calibri"/>
                <w:color w:val="000000"/>
                <w:sz w:val="16"/>
                <w:szCs w:val="16"/>
                <w:lang w:eastAsia="es-PY"/>
              </w:rPr>
            </w:pPr>
          </w:p>
        </w:tc>
        <w:tc>
          <w:tcPr>
            <w:tcW w:w="0" w:type="auto"/>
            <w:vAlign w:val="center"/>
            <w:hideMark/>
          </w:tcPr>
          <w:p w14:paraId="78ECACBC"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0" w:type="auto"/>
            <w:shd w:val="clear" w:color="FFFFFF" w:fill="FFFFFF"/>
            <w:noWrap/>
            <w:vAlign w:val="center"/>
            <w:hideMark/>
          </w:tcPr>
          <w:p w14:paraId="2AABB2FE"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 </w:t>
            </w:r>
          </w:p>
        </w:tc>
        <w:tc>
          <w:tcPr>
            <w:tcW w:w="0" w:type="auto"/>
            <w:shd w:val="clear" w:color="FFFFFF" w:fill="FFFFFF"/>
            <w:noWrap/>
            <w:vAlign w:val="center"/>
            <w:hideMark/>
          </w:tcPr>
          <w:p w14:paraId="17FE7625"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 </w:t>
            </w:r>
          </w:p>
        </w:tc>
        <w:tc>
          <w:tcPr>
            <w:tcW w:w="0" w:type="auto"/>
            <w:shd w:val="clear" w:color="FFFFFF" w:fill="FFFFFF"/>
            <w:noWrap/>
            <w:vAlign w:val="center"/>
            <w:hideMark/>
          </w:tcPr>
          <w:p w14:paraId="180721F1"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1.300.000 </w:t>
            </w:r>
          </w:p>
        </w:tc>
        <w:tc>
          <w:tcPr>
            <w:tcW w:w="0" w:type="auto"/>
            <w:vAlign w:val="center"/>
            <w:hideMark/>
          </w:tcPr>
          <w:p w14:paraId="64ADCC60"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1.300.000 </w:t>
            </w:r>
          </w:p>
        </w:tc>
      </w:tr>
    </w:tbl>
    <w:p w14:paraId="23DF8BED" w14:textId="32A602BC" w:rsidR="00FC186A" w:rsidRDefault="00FC186A" w:rsidP="007943B8">
      <w:pPr>
        <w:pStyle w:val="Tablaconcuadrcula"/>
        <w:pBdr>
          <w:bottom w:val="single" w:sz="4" w:space="1" w:color="auto"/>
        </w:pBdr>
        <w:tabs>
          <w:tab w:val="left" w:pos="284"/>
        </w:tabs>
        <w:spacing w:line="276" w:lineRule="auto"/>
        <w:jc w:val="both"/>
        <w:rPr>
          <w:rFonts w:asciiTheme="majorHAnsi" w:hAnsiTheme="majorHAnsi" w:cstheme="majorHAnsi"/>
          <w:sz w:val="22"/>
          <w:szCs w:val="22"/>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
        <w:gridCol w:w="1495"/>
        <w:gridCol w:w="2232"/>
        <w:gridCol w:w="735"/>
        <w:gridCol w:w="748"/>
        <w:gridCol w:w="1006"/>
        <w:gridCol w:w="1092"/>
        <w:gridCol w:w="1087"/>
      </w:tblGrid>
      <w:tr w:rsidR="00FC186A" w:rsidRPr="00FC186A" w14:paraId="5D327EDF" w14:textId="77777777" w:rsidTr="00FC186A">
        <w:trPr>
          <w:trHeight w:val="405"/>
        </w:trPr>
        <w:tc>
          <w:tcPr>
            <w:tcW w:w="0" w:type="auto"/>
            <w:gridSpan w:val="8"/>
            <w:shd w:val="clear" w:color="F4B083" w:fill="FFCCFF"/>
            <w:noWrap/>
            <w:vAlign w:val="center"/>
            <w:hideMark/>
          </w:tcPr>
          <w:p w14:paraId="6A050234"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PROYECTO - PINV01-776 </w:t>
            </w:r>
          </w:p>
        </w:tc>
      </w:tr>
      <w:tr w:rsidR="00FC186A" w:rsidRPr="00FC186A" w14:paraId="66BDC63E" w14:textId="77777777" w:rsidTr="00FC186A">
        <w:trPr>
          <w:trHeight w:val="1380"/>
        </w:trPr>
        <w:tc>
          <w:tcPr>
            <w:tcW w:w="0" w:type="auto"/>
            <w:shd w:val="clear" w:color="F7CAAC" w:fill="FFCCFF"/>
            <w:vAlign w:val="center"/>
            <w:hideMark/>
          </w:tcPr>
          <w:p w14:paraId="753A261F" w14:textId="4B7415DD"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Ítem N° </w:t>
            </w:r>
          </w:p>
        </w:tc>
        <w:tc>
          <w:tcPr>
            <w:tcW w:w="0" w:type="auto"/>
            <w:shd w:val="clear" w:color="F7CAAC" w:fill="FFCCFF"/>
            <w:noWrap/>
            <w:vAlign w:val="center"/>
            <w:hideMark/>
          </w:tcPr>
          <w:p w14:paraId="52D56FCB"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Descripción del bien</w:t>
            </w:r>
          </w:p>
        </w:tc>
        <w:tc>
          <w:tcPr>
            <w:tcW w:w="0" w:type="auto"/>
            <w:shd w:val="clear" w:color="F7CAAC" w:fill="FFCCFF"/>
            <w:noWrap/>
            <w:vAlign w:val="center"/>
            <w:hideMark/>
          </w:tcPr>
          <w:p w14:paraId="612E9463"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Especificaciones técnicas</w:t>
            </w:r>
          </w:p>
        </w:tc>
        <w:tc>
          <w:tcPr>
            <w:tcW w:w="0" w:type="auto"/>
            <w:shd w:val="clear" w:color="F7CAAC" w:fill="FFCCFF"/>
            <w:vAlign w:val="center"/>
            <w:hideMark/>
          </w:tcPr>
          <w:p w14:paraId="52FF8B68"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Cantidad </w:t>
            </w:r>
          </w:p>
        </w:tc>
        <w:tc>
          <w:tcPr>
            <w:tcW w:w="0" w:type="auto"/>
            <w:shd w:val="clear" w:color="F7CAAC" w:fill="FFCCFF"/>
            <w:vAlign w:val="center"/>
            <w:hideMark/>
          </w:tcPr>
          <w:p w14:paraId="3093EEC5"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Unidad de medida </w:t>
            </w:r>
          </w:p>
        </w:tc>
        <w:tc>
          <w:tcPr>
            <w:tcW w:w="0" w:type="auto"/>
            <w:shd w:val="clear" w:color="F7CAAC" w:fill="FFCCFF"/>
            <w:vAlign w:val="center"/>
            <w:hideMark/>
          </w:tcPr>
          <w:p w14:paraId="363BDB2D"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Presentación </w:t>
            </w:r>
          </w:p>
        </w:tc>
        <w:tc>
          <w:tcPr>
            <w:tcW w:w="0" w:type="auto"/>
            <w:shd w:val="clear" w:color="F7CAAC" w:fill="FFCCFF"/>
            <w:vAlign w:val="center"/>
            <w:hideMark/>
          </w:tcPr>
          <w:p w14:paraId="31541E7F"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 Precio Unitario Referencial (IVA INCLUIDO) </w:t>
            </w:r>
          </w:p>
        </w:tc>
        <w:tc>
          <w:tcPr>
            <w:tcW w:w="0" w:type="auto"/>
            <w:shd w:val="clear" w:color="F7CAAC" w:fill="FFCCFF"/>
            <w:vAlign w:val="center"/>
            <w:hideMark/>
          </w:tcPr>
          <w:p w14:paraId="0322BD1D" w14:textId="77777777" w:rsidR="00FC186A" w:rsidRPr="00FC186A" w:rsidRDefault="00FC186A" w:rsidP="00FC186A">
            <w:pPr>
              <w:spacing w:after="0" w:line="240" w:lineRule="auto"/>
              <w:jc w:val="center"/>
              <w:rPr>
                <w:rFonts w:eastAsia="Times New Roman" w:cs="Calibri"/>
                <w:b/>
                <w:bCs/>
                <w:color w:val="000000"/>
                <w:sz w:val="16"/>
                <w:szCs w:val="16"/>
                <w:lang w:eastAsia="es-PY"/>
              </w:rPr>
            </w:pPr>
            <w:r w:rsidRPr="00FC186A">
              <w:rPr>
                <w:rFonts w:eastAsia="Times New Roman" w:cs="Calibri"/>
                <w:b/>
                <w:bCs/>
                <w:color w:val="000000"/>
                <w:sz w:val="16"/>
                <w:szCs w:val="16"/>
                <w:lang w:eastAsia="es-PY"/>
              </w:rPr>
              <w:t xml:space="preserve"> Precio Total Referencial (IVA INCLUIDO) </w:t>
            </w:r>
          </w:p>
        </w:tc>
      </w:tr>
      <w:tr w:rsidR="00FC186A" w:rsidRPr="00FC186A" w14:paraId="6F2CE414" w14:textId="77777777" w:rsidTr="00FC186A">
        <w:trPr>
          <w:trHeight w:val="1050"/>
        </w:trPr>
        <w:tc>
          <w:tcPr>
            <w:tcW w:w="0" w:type="auto"/>
            <w:shd w:val="clear" w:color="FFFFFF" w:fill="FFFFFF"/>
            <w:noWrap/>
            <w:vAlign w:val="center"/>
            <w:hideMark/>
          </w:tcPr>
          <w:p w14:paraId="196B2806" w14:textId="671F9E53" w:rsidR="00FC186A" w:rsidRPr="00FC186A" w:rsidRDefault="002D6375" w:rsidP="00FC186A">
            <w:pPr>
              <w:spacing w:after="0" w:line="240" w:lineRule="auto"/>
              <w:jc w:val="center"/>
              <w:rPr>
                <w:rFonts w:eastAsia="Times New Roman" w:cs="Calibri"/>
                <w:b/>
                <w:bCs/>
                <w:color w:val="000000"/>
                <w:sz w:val="16"/>
                <w:szCs w:val="16"/>
                <w:lang w:eastAsia="es-PY"/>
              </w:rPr>
            </w:pPr>
            <w:r>
              <w:rPr>
                <w:rFonts w:eastAsia="Times New Roman" w:cs="Calibri"/>
                <w:b/>
                <w:bCs/>
                <w:color w:val="000000"/>
                <w:sz w:val="16"/>
                <w:szCs w:val="16"/>
                <w:lang w:eastAsia="es-PY"/>
              </w:rPr>
              <w:t>48</w:t>
            </w:r>
          </w:p>
        </w:tc>
        <w:tc>
          <w:tcPr>
            <w:tcW w:w="0" w:type="auto"/>
            <w:shd w:val="clear" w:color="FFFFFF" w:fill="FFFFFF"/>
            <w:vAlign w:val="center"/>
            <w:hideMark/>
          </w:tcPr>
          <w:p w14:paraId="3EEB1D16" w14:textId="50536AF7" w:rsidR="00FC186A" w:rsidRPr="00FC186A" w:rsidRDefault="00FC186A" w:rsidP="00FC186A">
            <w:pPr>
              <w:spacing w:after="0" w:line="240" w:lineRule="auto"/>
              <w:rPr>
                <w:rFonts w:eastAsia="Times New Roman" w:cs="Calibri"/>
                <w:sz w:val="16"/>
                <w:szCs w:val="16"/>
                <w:lang w:eastAsia="es-PY"/>
              </w:rPr>
            </w:pPr>
            <w:r w:rsidRPr="00FC186A">
              <w:rPr>
                <w:sz w:val="16"/>
                <w:szCs w:val="16"/>
              </w:rPr>
              <w:t>Kit de Gabinete y Periféricos</w:t>
            </w:r>
          </w:p>
        </w:tc>
        <w:tc>
          <w:tcPr>
            <w:tcW w:w="0" w:type="auto"/>
            <w:shd w:val="clear" w:color="FFFFFF" w:fill="FFFFFF"/>
            <w:vAlign w:val="center"/>
            <w:hideMark/>
          </w:tcPr>
          <w:p w14:paraId="1FF673E7" w14:textId="77777777" w:rsidR="00FC186A" w:rsidRPr="00FC186A" w:rsidRDefault="00FC186A" w:rsidP="00FC186A">
            <w:pPr>
              <w:jc w:val="both"/>
              <w:rPr>
                <w:sz w:val="16"/>
                <w:szCs w:val="16"/>
              </w:rPr>
            </w:pPr>
            <w:r w:rsidRPr="00FC186A">
              <w:rPr>
                <w:sz w:val="16"/>
                <w:szCs w:val="16"/>
              </w:rPr>
              <w:t>Gabinete: Factor de forma Mid-Tower compatible con placas ATX, flujo de aire optimizado.</w:t>
            </w:r>
          </w:p>
          <w:p w14:paraId="4CC92AFA" w14:textId="77777777" w:rsidR="00FC186A" w:rsidRPr="00FC186A" w:rsidRDefault="00FC186A" w:rsidP="00FC186A">
            <w:pPr>
              <w:jc w:val="both"/>
              <w:rPr>
                <w:sz w:val="16"/>
                <w:szCs w:val="16"/>
              </w:rPr>
            </w:pPr>
          </w:p>
          <w:p w14:paraId="5CC7A397" w14:textId="5C828C4A" w:rsidR="00FC186A" w:rsidRPr="00FC186A" w:rsidRDefault="00FC186A" w:rsidP="00FC186A">
            <w:pPr>
              <w:spacing w:after="0" w:line="240" w:lineRule="auto"/>
              <w:rPr>
                <w:rFonts w:eastAsia="Times New Roman" w:cs="Calibri"/>
                <w:sz w:val="16"/>
                <w:szCs w:val="16"/>
                <w:lang w:eastAsia="es-PY"/>
              </w:rPr>
            </w:pPr>
            <w:r w:rsidRPr="00FC186A">
              <w:rPr>
                <w:sz w:val="16"/>
                <w:szCs w:val="16"/>
              </w:rPr>
              <w:t xml:space="preserve">Teclado y Mouse: Kit cableado USB. Teclado con distribución en español (con Ñ). Mouse óptico ergonómico </w:t>
            </w:r>
          </w:p>
        </w:tc>
        <w:tc>
          <w:tcPr>
            <w:tcW w:w="0" w:type="auto"/>
            <w:shd w:val="clear" w:color="FFFFFF" w:fill="FFFFFF"/>
            <w:noWrap/>
            <w:vAlign w:val="center"/>
            <w:hideMark/>
          </w:tcPr>
          <w:p w14:paraId="71DBC672"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0" w:type="auto"/>
            <w:shd w:val="clear" w:color="FFFFFF" w:fill="FFFFFF"/>
            <w:noWrap/>
            <w:vAlign w:val="center"/>
            <w:hideMark/>
          </w:tcPr>
          <w:p w14:paraId="17590784"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unidades </w:t>
            </w:r>
          </w:p>
        </w:tc>
        <w:tc>
          <w:tcPr>
            <w:tcW w:w="0" w:type="auto"/>
            <w:shd w:val="clear" w:color="FFFFFF" w:fill="FFFFFF"/>
            <w:noWrap/>
            <w:vAlign w:val="center"/>
            <w:hideMark/>
          </w:tcPr>
          <w:p w14:paraId="4D820F6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 </w:t>
            </w:r>
          </w:p>
        </w:tc>
        <w:tc>
          <w:tcPr>
            <w:tcW w:w="0" w:type="auto"/>
            <w:shd w:val="clear" w:color="FFFFFF" w:fill="FFFFFF"/>
            <w:noWrap/>
            <w:vAlign w:val="center"/>
            <w:hideMark/>
          </w:tcPr>
          <w:p w14:paraId="11966C1E"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865.000 </w:t>
            </w:r>
          </w:p>
        </w:tc>
        <w:tc>
          <w:tcPr>
            <w:tcW w:w="0" w:type="auto"/>
            <w:shd w:val="clear" w:color="FFFFFF" w:fill="FFFFFF"/>
            <w:noWrap/>
            <w:vAlign w:val="center"/>
            <w:hideMark/>
          </w:tcPr>
          <w:p w14:paraId="52BE721F"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865.000 </w:t>
            </w:r>
          </w:p>
        </w:tc>
      </w:tr>
      <w:tr w:rsidR="00FC186A" w:rsidRPr="00FC186A" w14:paraId="2B9ABF71" w14:textId="77777777" w:rsidTr="00FC186A">
        <w:trPr>
          <w:trHeight w:val="900"/>
        </w:trPr>
        <w:tc>
          <w:tcPr>
            <w:tcW w:w="0" w:type="auto"/>
            <w:shd w:val="clear" w:color="FFFFFF" w:fill="FFFFFF"/>
            <w:noWrap/>
            <w:vAlign w:val="center"/>
            <w:hideMark/>
          </w:tcPr>
          <w:p w14:paraId="2836C4C9" w14:textId="4A2DC39E" w:rsidR="00FC186A" w:rsidRPr="00FC186A" w:rsidRDefault="002D6375" w:rsidP="00FC186A">
            <w:pPr>
              <w:spacing w:after="0" w:line="240" w:lineRule="auto"/>
              <w:jc w:val="center"/>
              <w:rPr>
                <w:rFonts w:eastAsia="Times New Roman" w:cs="Calibri"/>
                <w:b/>
                <w:bCs/>
                <w:color w:val="000000"/>
                <w:sz w:val="16"/>
                <w:szCs w:val="16"/>
                <w:lang w:eastAsia="es-PY"/>
              </w:rPr>
            </w:pPr>
            <w:r>
              <w:rPr>
                <w:rFonts w:eastAsia="Times New Roman" w:cs="Calibri"/>
                <w:b/>
                <w:bCs/>
                <w:color w:val="000000"/>
                <w:sz w:val="16"/>
                <w:szCs w:val="16"/>
                <w:lang w:eastAsia="es-PY"/>
              </w:rPr>
              <w:lastRenderedPageBreak/>
              <w:t>49</w:t>
            </w:r>
          </w:p>
        </w:tc>
        <w:tc>
          <w:tcPr>
            <w:tcW w:w="0" w:type="auto"/>
            <w:shd w:val="clear" w:color="FFFFFF" w:fill="FFFFFF"/>
            <w:vAlign w:val="center"/>
            <w:hideMark/>
          </w:tcPr>
          <w:p w14:paraId="58280DB0" w14:textId="7A564FDB" w:rsidR="00FC186A" w:rsidRPr="00FC186A" w:rsidRDefault="00FC186A" w:rsidP="00FC186A">
            <w:pPr>
              <w:spacing w:after="0" w:line="240" w:lineRule="auto"/>
              <w:rPr>
                <w:rFonts w:eastAsia="Times New Roman" w:cs="Calibri"/>
                <w:sz w:val="16"/>
                <w:szCs w:val="16"/>
                <w:lang w:eastAsia="es-PY"/>
              </w:rPr>
            </w:pPr>
            <w:r w:rsidRPr="00FC186A">
              <w:rPr>
                <w:sz w:val="16"/>
                <w:szCs w:val="16"/>
              </w:rPr>
              <w:t>Monitor Curvo 32"</w:t>
            </w:r>
          </w:p>
        </w:tc>
        <w:tc>
          <w:tcPr>
            <w:tcW w:w="0" w:type="auto"/>
            <w:shd w:val="clear" w:color="FFFFFF" w:fill="FFFFFF"/>
            <w:vAlign w:val="center"/>
            <w:hideMark/>
          </w:tcPr>
          <w:p w14:paraId="13A1FB65" w14:textId="7E288761" w:rsidR="00FC186A" w:rsidRPr="00FC186A" w:rsidRDefault="00FC186A" w:rsidP="00FC186A">
            <w:pPr>
              <w:spacing w:after="0" w:line="240" w:lineRule="auto"/>
              <w:rPr>
                <w:rFonts w:eastAsia="Times New Roman" w:cs="Calibri"/>
                <w:sz w:val="16"/>
                <w:szCs w:val="16"/>
                <w:lang w:eastAsia="es-PY"/>
              </w:rPr>
            </w:pPr>
            <w:r w:rsidRPr="00FC186A">
              <w:rPr>
                <w:sz w:val="16"/>
                <w:szCs w:val="16"/>
              </w:rPr>
              <w:t>Monitor con pantalla curva (1500R o 1000R) de 32 pulgadas. Panel VA o IPS LED. Resolución nativa Quad HD / 2K (2560 x 1440). Tasa de refresco mínima de 75 Hz y tiempo de respuesta de 1 ms. Entradas: 2x HDMI y 1x DisplayPort. Panel IPS. Ajuste ergonómico de altura e inclinación.  Soporte VESA.</w:t>
            </w:r>
          </w:p>
        </w:tc>
        <w:tc>
          <w:tcPr>
            <w:tcW w:w="0" w:type="auto"/>
            <w:shd w:val="clear" w:color="FFFFFF" w:fill="FFFFFF"/>
            <w:noWrap/>
            <w:vAlign w:val="center"/>
            <w:hideMark/>
          </w:tcPr>
          <w:p w14:paraId="48361F18"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0" w:type="auto"/>
            <w:shd w:val="clear" w:color="FFFFFF" w:fill="FFFFFF"/>
            <w:noWrap/>
            <w:vAlign w:val="center"/>
            <w:hideMark/>
          </w:tcPr>
          <w:p w14:paraId="5F53A78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FFFFFF" w:fill="FFFFFF"/>
            <w:noWrap/>
            <w:vAlign w:val="center"/>
            <w:hideMark/>
          </w:tcPr>
          <w:p w14:paraId="274F78CF"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 </w:t>
            </w:r>
          </w:p>
        </w:tc>
        <w:tc>
          <w:tcPr>
            <w:tcW w:w="0" w:type="auto"/>
            <w:shd w:val="clear" w:color="FFFFFF" w:fill="FFFFFF"/>
            <w:noWrap/>
            <w:vAlign w:val="center"/>
            <w:hideMark/>
          </w:tcPr>
          <w:p w14:paraId="2EDA5399"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1.750.000 </w:t>
            </w:r>
          </w:p>
        </w:tc>
        <w:tc>
          <w:tcPr>
            <w:tcW w:w="0" w:type="auto"/>
            <w:shd w:val="clear" w:color="FFFFFF" w:fill="FFFFFF"/>
            <w:noWrap/>
            <w:vAlign w:val="center"/>
            <w:hideMark/>
          </w:tcPr>
          <w:p w14:paraId="08C5E97B"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1.750.000 </w:t>
            </w:r>
          </w:p>
        </w:tc>
      </w:tr>
      <w:tr w:rsidR="00FC186A" w:rsidRPr="00FC186A" w14:paraId="0005A6BB" w14:textId="77777777" w:rsidTr="00FC186A">
        <w:trPr>
          <w:trHeight w:val="840"/>
        </w:trPr>
        <w:tc>
          <w:tcPr>
            <w:tcW w:w="0" w:type="auto"/>
            <w:shd w:val="clear" w:color="FFFFFF" w:fill="FFFFFF"/>
            <w:noWrap/>
            <w:vAlign w:val="center"/>
            <w:hideMark/>
          </w:tcPr>
          <w:p w14:paraId="6AAF2EE2" w14:textId="5BFC0249" w:rsidR="00FC186A" w:rsidRPr="00FC186A" w:rsidRDefault="002D6375" w:rsidP="00FC186A">
            <w:pPr>
              <w:spacing w:after="0" w:line="240" w:lineRule="auto"/>
              <w:jc w:val="center"/>
              <w:rPr>
                <w:rFonts w:eastAsia="Times New Roman" w:cs="Calibri"/>
                <w:b/>
                <w:bCs/>
                <w:color w:val="000000"/>
                <w:sz w:val="16"/>
                <w:szCs w:val="16"/>
                <w:lang w:eastAsia="es-PY"/>
              </w:rPr>
            </w:pPr>
            <w:r>
              <w:rPr>
                <w:rFonts w:eastAsia="Times New Roman" w:cs="Calibri"/>
                <w:b/>
                <w:bCs/>
                <w:color w:val="000000"/>
                <w:sz w:val="16"/>
                <w:szCs w:val="16"/>
                <w:lang w:eastAsia="es-PY"/>
              </w:rPr>
              <w:t>50</w:t>
            </w:r>
          </w:p>
        </w:tc>
        <w:tc>
          <w:tcPr>
            <w:tcW w:w="0" w:type="auto"/>
            <w:shd w:val="clear" w:color="FFFFFF" w:fill="FFFFFF"/>
            <w:vAlign w:val="center"/>
            <w:hideMark/>
          </w:tcPr>
          <w:p w14:paraId="5DA69653" w14:textId="39EC47A9" w:rsidR="00FC186A" w:rsidRPr="00FC186A" w:rsidRDefault="00FC186A" w:rsidP="00FC186A">
            <w:pPr>
              <w:spacing w:after="0" w:line="240" w:lineRule="auto"/>
              <w:rPr>
                <w:rFonts w:eastAsia="Times New Roman" w:cs="Calibri"/>
                <w:sz w:val="16"/>
                <w:szCs w:val="16"/>
                <w:lang w:eastAsia="es-PY"/>
              </w:rPr>
            </w:pPr>
            <w:r w:rsidRPr="00FC186A">
              <w:rPr>
                <w:sz w:val="16"/>
                <w:szCs w:val="16"/>
              </w:rPr>
              <w:t>Placa Madre (Motherboard)</w:t>
            </w:r>
          </w:p>
        </w:tc>
        <w:tc>
          <w:tcPr>
            <w:tcW w:w="0" w:type="auto"/>
            <w:shd w:val="clear" w:color="auto" w:fill="auto"/>
            <w:vAlign w:val="center"/>
            <w:hideMark/>
          </w:tcPr>
          <w:p w14:paraId="5AE1E284" w14:textId="0800D6EB" w:rsidR="00FC186A" w:rsidRPr="00FC186A" w:rsidRDefault="00FC186A" w:rsidP="00FC186A">
            <w:pPr>
              <w:spacing w:after="0" w:line="240" w:lineRule="auto"/>
              <w:rPr>
                <w:rFonts w:eastAsia="Times New Roman" w:cs="Calibri"/>
                <w:sz w:val="16"/>
                <w:szCs w:val="16"/>
                <w:lang w:eastAsia="es-PY"/>
              </w:rPr>
            </w:pPr>
            <w:r w:rsidRPr="00FC186A">
              <w:rPr>
                <w:sz w:val="16"/>
                <w:szCs w:val="16"/>
              </w:rPr>
              <w:t>Placa base factor de forma ATX, Chipset AMD B850 (Socket AM5). 4 ranuras DIMM DDR5 (soporte hasta 5600 MHz o superior). Ranuras de expansión: 1x PCIe 5.0 x16 reforzada y mínimo 2x M.2 NVMe. Conectividad: LAN 2.5 Gbps y Wi-Fi 6E + Bluetooth integrado.</w:t>
            </w:r>
          </w:p>
        </w:tc>
        <w:tc>
          <w:tcPr>
            <w:tcW w:w="0" w:type="auto"/>
            <w:shd w:val="clear" w:color="auto" w:fill="auto"/>
            <w:vAlign w:val="center"/>
            <w:hideMark/>
          </w:tcPr>
          <w:p w14:paraId="26BBBF2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0" w:type="auto"/>
            <w:shd w:val="clear" w:color="auto" w:fill="auto"/>
            <w:noWrap/>
            <w:vAlign w:val="center"/>
            <w:hideMark/>
          </w:tcPr>
          <w:p w14:paraId="0BA1869A"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 </w:t>
            </w:r>
          </w:p>
        </w:tc>
        <w:tc>
          <w:tcPr>
            <w:tcW w:w="0" w:type="auto"/>
            <w:shd w:val="clear" w:color="auto" w:fill="auto"/>
            <w:noWrap/>
            <w:vAlign w:val="center"/>
            <w:hideMark/>
          </w:tcPr>
          <w:p w14:paraId="4EB57B57"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 </w:t>
            </w:r>
          </w:p>
        </w:tc>
        <w:tc>
          <w:tcPr>
            <w:tcW w:w="0" w:type="auto"/>
            <w:shd w:val="clear" w:color="auto" w:fill="auto"/>
            <w:noWrap/>
            <w:vAlign w:val="center"/>
            <w:hideMark/>
          </w:tcPr>
          <w:p w14:paraId="234997B1"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1.700.000 </w:t>
            </w:r>
          </w:p>
        </w:tc>
        <w:tc>
          <w:tcPr>
            <w:tcW w:w="0" w:type="auto"/>
            <w:shd w:val="clear" w:color="FFFFFF" w:fill="FFFFFF"/>
            <w:noWrap/>
            <w:vAlign w:val="center"/>
            <w:hideMark/>
          </w:tcPr>
          <w:p w14:paraId="594D2808"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1.700.000 </w:t>
            </w:r>
          </w:p>
        </w:tc>
      </w:tr>
      <w:tr w:rsidR="00FC186A" w:rsidRPr="00FC186A" w14:paraId="0EFEFC8F" w14:textId="77777777" w:rsidTr="00FC186A">
        <w:trPr>
          <w:trHeight w:val="840"/>
        </w:trPr>
        <w:tc>
          <w:tcPr>
            <w:tcW w:w="0" w:type="auto"/>
            <w:shd w:val="clear" w:color="FFFFFF" w:fill="FFFFFF"/>
            <w:noWrap/>
            <w:vAlign w:val="center"/>
            <w:hideMark/>
          </w:tcPr>
          <w:p w14:paraId="73DA1604" w14:textId="27CD70A8" w:rsidR="00FC186A" w:rsidRPr="00FC186A" w:rsidRDefault="002D6375" w:rsidP="00FC186A">
            <w:pPr>
              <w:spacing w:after="0" w:line="240" w:lineRule="auto"/>
              <w:jc w:val="center"/>
              <w:rPr>
                <w:rFonts w:eastAsia="Times New Roman" w:cs="Calibri"/>
                <w:b/>
                <w:bCs/>
                <w:color w:val="000000"/>
                <w:sz w:val="16"/>
                <w:szCs w:val="16"/>
                <w:lang w:eastAsia="es-PY"/>
              </w:rPr>
            </w:pPr>
            <w:r>
              <w:rPr>
                <w:rFonts w:eastAsia="Times New Roman" w:cs="Calibri"/>
                <w:b/>
                <w:bCs/>
                <w:color w:val="000000"/>
                <w:sz w:val="16"/>
                <w:szCs w:val="16"/>
                <w:lang w:eastAsia="es-PY"/>
              </w:rPr>
              <w:t>51</w:t>
            </w:r>
          </w:p>
        </w:tc>
        <w:tc>
          <w:tcPr>
            <w:tcW w:w="0" w:type="auto"/>
            <w:shd w:val="clear" w:color="FFFFFF" w:fill="FFFFFF"/>
            <w:vAlign w:val="center"/>
            <w:hideMark/>
          </w:tcPr>
          <w:p w14:paraId="108B9F9A" w14:textId="2A560EBA" w:rsidR="00FC186A" w:rsidRPr="00FC186A" w:rsidRDefault="00FC186A" w:rsidP="00FC186A">
            <w:pPr>
              <w:spacing w:after="0" w:line="240" w:lineRule="auto"/>
              <w:rPr>
                <w:rFonts w:eastAsia="Times New Roman" w:cs="Calibri"/>
                <w:sz w:val="16"/>
                <w:szCs w:val="16"/>
                <w:lang w:eastAsia="es-PY"/>
              </w:rPr>
            </w:pPr>
            <w:r w:rsidRPr="00FC186A">
              <w:rPr>
                <w:sz w:val="16"/>
                <w:szCs w:val="16"/>
              </w:rPr>
              <w:t>Fuente de Poder (PSU)</w:t>
            </w:r>
          </w:p>
        </w:tc>
        <w:tc>
          <w:tcPr>
            <w:tcW w:w="0" w:type="auto"/>
            <w:shd w:val="clear" w:color="auto" w:fill="auto"/>
            <w:vAlign w:val="center"/>
            <w:hideMark/>
          </w:tcPr>
          <w:p w14:paraId="577699DB" w14:textId="3B984894" w:rsidR="00FC186A" w:rsidRPr="00FC186A" w:rsidRDefault="00FC186A" w:rsidP="00FC186A">
            <w:pPr>
              <w:spacing w:after="0" w:line="240" w:lineRule="auto"/>
              <w:rPr>
                <w:rFonts w:eastAsia="Times New Roman" w:cs="Calibri"/>
                <w:sz w:val="16"/>
                <w:szCs w:val="16"/>
                <w:lang w:eastAsia="es-PY"/>
              </w:rPr>
            </w:pPr>
            <w:r w:rsidRPr="00FC186A">
              <w:rPr>
                <w:sz w:val="16"/>
                <w:szCs w:val="16"/>
              </w:rPr>
              <w:t>Fuente de alimentación ATX con potencia real mínima de 850W. Certificación de eficiencia 80 Plus Gold. Diseño de cableado 100% modular. Incluye protecciones eléctricas completas (OVP, UVP, SCP, etc.) y conector nativo PCIe 5.0 (12VHPWR).</w:t>
            </w:r>
          </w:p>
        </w:tc>
        <w:tc>
          <w:tcPr>
            <w:tcW w:w="0" w:type="auto"/>
            <w:shd w:val="clear" w:color="auto" w:fill="auto"/>
            <w:vAlign w:val="center"/>
            <w:hideMark/>
          </w:tcPr>
          <w:p w14:paraId="7BF94843"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1</w:t>
            </w:r>
          </w:p>
        </w:tc>
        <w:tc>
          <w:tcPr>
            <w:tcW w:w="0" w:type="auto"/>
            <w:shd w:val="clear" w:color="auto" w:fill="auto"/>
            <w:noWrap/>
            <w:vAlign w:val="center"/>
            <w:hideMark/>
          </w:tcPr>
          <w:p w14:paraId="25562D26"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unidad</w:t>
            </w:r>
          </w:p>
        </w:tc>
        <w:tc>
          <w:tcPr>
            <w:tcW w:w="0" w:type="auto"/>
            <w:shd w:val="clear" w:color="auto" w:fill="auto"/>
            <w:noWrap/>
            <w:vAlign w:val="center"/>
            <w:hideMark/>
          </w:tcPr>
          <w:p w14:paraId="760ED98D"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unidad </w:t>
            </w:r>
          </w:p>
        </w:tc>
        <w:tc>
          <w:tcPr>
            <w:tcW w:w="0" w:type="auto"/>
            <w:shd w:val="clear" w:color="auto" w:fill="auto"/>
            <w:noWrap/>
            <w:vAlign w:val="center"/>
            <w:hideMark/>
          </w:tcPr>
          <w:p w14:paraId="32BCF2C1"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860.000 </w:t>
            </w:r>
          </w:p>
        </w:tc>
        <w:tc>
          <w:tcPr>
            <w:tcW w:w="0" w:type="auto"/>
            <w:shd w:val="clear" w:color="FFFFFF" w:fill="FFFFFF"/>
            <w:noWrap/>
            <w:vAlign w:val="center"/>
            <w:hideMark/>
          </w:tcPr>
          <w:p w14:paraId="15B9ABC2" w14:textId="77777777" w:rsidR="00FC186A" w:rsidRPr="00FC186A" w:rsidRDefault="00FC186A" w:rsidP="00FC186A">
            <w:pPr>
              <w:spacing w:after="0" w:line="240" w:lineRule="auto"/>
              <w:jc w:val="center"/>
              <w:rPr>
                <w:rFonts w:eastAsia="Times New Roman" w:cs="Calibri"/>
                <w:color w:val="000000"/>
                <w:sz w:val="16"/>
                <w:szCs w:val="16"/>
                <w:lang w:eastAsia="es-PY"/>
              </w:rPr>
            </w:pPr>
            <w:r w:rsidRPr="00FC186A">
              <w:rPr>
                <w:rFonts w:eastAsia="Times New Roman" w:cs="Calibri"/>
                <w:color w:val="000000"/>
                <w:sz w:val="16"/>
                <w:szCs w:val="16"/>
                <w:lang w:eastAsia="es-PY"/>
              </w:rPr>
              <w:t xml:space="preserve">          860.000 </w:t>
            </w:r>
          </w:p>
        </w:tc>
      </w:tr>
    </w:tbl>
    <w:p w14:paraId="25C3B5F3" w14:textId="77777777" w:rsidR="00FC186A" w:rsidRDefault="00FC186A" w:rsidP="007943B8">
      <w:pPr>
        <w:pStyle w:val="Tablaconcuadrcula"/>
        <w:pBdr>
          <w:bottom w:val="single" w:sz="4" w:space="1" w:color="auto"/>
        </w:pBdr>
        <w:tabs>
          <w:tab w:val="left" w:pos="284"/>
        </w:tabs>
        <w:spacing w:line="276" w:lineRule="auto"/>
        <w:jc w:val="both"/>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8"/>
        <w:gridCol w:w="1632"/>
        <w:gridCol w:w="3283"/>
        <w:gridCol w:w="541"/>
        <w:gridCol w:w="478"/>
        <w:gridCol w:w="724"/>
        <w:gridCol w:w="911"/>
        <w:gridCol w:w="911"/>
      </w:tblGrid>
      <w:tr w:rsidR="00581335" w:rsidRPr="002439C6" w14:paraId="346B5309" w14:textId="77777777" w:rsidTr="00581335">
        <w:trPr>
          <w:trHeight w:val="624"/>
          <w:tblHeader/>
        </w:trPr>
        <w:tc>
          <w:tcPr>
            <w:tcW w:w="8828" w:type="dxa"/>
            <w:gridSpan w:val="8"/>
            <w:shd w:val="clear" w:color="auto" w:fill="92D050"/>
          </w:tcPr>
          <w:p w14:paraId="519DF921" w14:textId="7A376C23" w:rsidR="00581335" w:rsidRPr="002439C6" w:rsidRDefault="00581335" w:rsidP="00581335">
            <w:pPr>
              <w:spacing w:after="0" w:line="240" w:lineRule="auto"/>
              <w:jc w:val="center"/>
              <w:rPr>
                <w:rFonts w:eastAsia="Times New Roman" w:cs="Calibri"/>
                <w:b/>
                <w:bCs/>
                <w:color w:val="000000"/>
                <w:sz w:val="16"/>
                <w:szCs w:val="16"/>
                <w:lang w:eastAsia="es-PY"/>
              </w:rPr>
            </w:pPr>
            <w:r>
              <w:rPr>
                <w:rFonts w:eastAsia="Times New Roman" w:cs="Calibri"/>
                <w:b/>
                <w:bCs/>
                <w:color w:val="000000"/>
                <w:sz w:val="16"/>
                <w:szCs w:val="16"/>
                <w:lang w:eastAsia="es-PY"/>
              </w:rPr>
              <w:t>PROYECTO ESTR01-4</w:t>
            </w:r>
          </w:p>
        </w:tc>
      </w:tr>
      <w:tr w:rsidR="002439C6" w:rsidRPr="002439C6" w14:paraId="45EA914C" w14:textId="77777777" w:rsidTr="00581335">
        <w:trPr>
          <w:trHeight w:val="624"/>
          <w:tblHeader/>
        </w:trPr>
        <w:tc>
          <w:tcPr>
            <w:tcW w:w="348" w:type="dxa"/>
            <w:shd w:val="clear" w:color="auto" w:fill="92D050"/>
            <w:hideMark/>
          </w:tcPr>
          <w:p w14:paraId="4BB55DD4" w14:textId="77777777" w:rsidR="002439C6" w:rsidRPr="002439C6" w:rsidRDefault="002439C6" w:rsidP="002439C6">
            <w:pPr>
              <w:spacing w:after="0" w:line="240" w:lineRule="auto"/>
              <w:rPr>
                <w:rFonts w:eastAsia="Times New Roman" w:cs="Calibri"/>
                <w:b/>
                <w:bCs/>
                <w:color w:val="000000"/>
                <w:sz w:val="16"/>
                <w:szCs w:val="16"/>
                <w:lang w:eastAsia="es-PY"/>
              </w:rPr>
            </w:pPr>
            <w:r w:rsidRPr="002439C6">
              <w:rPr>
                <w:rFonts w:eastAsia="Times New Roman" w:cs="Calibri"/>
                <w:b/>
                <w:bCs/>
                <w:color w:val="000000"/>
                <w:sz w:val="16"/>
                <w:szCs w:val="16"/>
                <w:lang w:eastAsia="es-PY"/>
              </w:rPr>
              <w:t xml:space="preserve">Ítem N° </w:t>
            </w:r>
          </w:p>
        </w:tc>
        <w:tc>
          <w:tcPr>
            <w:tcW w:w="1632" w:type="dxa"/>
            <w:shd w:val="clear" w:color="auto" w:fill="92D050"/>
            <w:noWrap/>
            <w:hideMark/>
          </w:tcPr>
          <w:p w14:paraId="07DD75A5" w14:textId="77777777" w:rsidR="002439C6" w:rsidRPr="002439C6" w:rsidRDefault="002439C6" w:rsidP="002439C6">
            <w:pPr>
              <w:spacing w:after="0" w:line="240" w:lineRule="auto"/>
              <w:rPr>
                <w:rFonts w:eastAsia="Times New Roman" w:cs="Calibri"/>
                <w:b/>
                <w:bCs/>
                <w:color w:val="000000"/>
                <w:sz w:val="16"/>
                <w:szCs w:val="16"/>
                <w:lang w:eastAsia="es-PY"/>
              </w:rPr>
            </w:pPr>
            <w:r w:rsidRPr="002439C6">
              <w:rPr>
                <w:rFonts w:eastAsia="Times New Roman" w:cs="Calibri"/>
                <w:b/>
                <w:bCs/>
                <w:color w:val="000000"/>
                <w:sz w:val="16"/>
                <w:szCs w:val="16"/>
                <w:lang w:eastAsia="es-PY"/>
              </w:rPr>
              <w:t>Descripción del bien</w:t>
            </w:r>
          </w:p>
        </w:tc>
        <w:tc>
          <w:tcPr>
            <w:tcW w:w="3283" w:type="dxa"/>
            <w:shd w:val="clear" w:color="auto" w:fill="92D050"/>
            <w:noWrap/>
            <w:hideMark/>
          </w:tcPr>
          <w:p w14:paraId="55F6F66F" w14:textId="77777777" w:rsidR="002439C6" w:rsidRPr="002439C6" w:rsidRDefault="002439C6" w:rsidP="002439C6">
            <w:pPr>
              <w:spacing w:after="0" w:line="240" w:lineRule="auto"/>
              <w:rPr>
                <w:rFonts w:eastAsia="Times New Roman" w:cs="Calibri"/>
                <w:b/>
                <w:bCs/>
                <w:color w:val="000000"/>
                <w:sz w:val="16"/>
                <w:szCs w:val="16"/>
                <w:lang w:eastAsia="es-PY"/>
              </w:rPr>
            </w:pPr>
            <w:r w:rsidRPr="002439C6">
              <w:rPr>
                <w:rFonts w:eastAsia="Times New Roman" w:cs="Calibri"/>
                <w:b/>
                <w:bCs/>
                <w:color w:val="000000"/>
                <w:sz w:val="16"/>
                <w:szCs w:val="16"/>
                <w:lang w:eastAsia="es-PY"/>
              </w:rPr>
              <w:t>Especificaciones técnicas</w:t>
            </w:r>
          </w:p>
        </w:tc>
        <w:tc>
          <w:tcPr>
            <w:tcW w:w="541" w:type="dxa"/>
            <w:shd w:val="clear" w:color="auto" w:fill="92D050"/>
            <w:hideMark/>
          </w:tcPr>
          <w:p w14:paraId="7E58E2B4" w14:textId="77777777" w:rsidR="002439C6" w:rsidRPr="002439C6" w:rsidRDefault="002439C6" w:rsidP="002439C6">
            <w:pPr>
              <w:spacing w:after="0" w:line="240" w:lineRule="auto"/>
              <w:rPr>
                <w:rFonts w:eastAsia="Times New Roman" w:cs="Calibri"/>
                <w:b/>
                <w:bCs/>
                <w:color w:val="000000"/>
                <w:sz w:val="16"/>
                <w:szCs w:val="16"/>
                <w:lang w:eastAsia="es-PY"/>
              </w:rPr>
            </w:pPr>
            <w:r w:rsidRPr="002439C6">
              <w:rPr>
                <w:rFonts w:eastAsia="Times New Roman" w:cs="Calibri"/>
                <w:b/>
                <w:bCs/>
                <w:color w:val="000000"/>
                <w:sz w:val="16"/>
                <w:szCs w:val="16"/>
                <w:lang w:eastAsia="es-PY"/>
              </w:rPr>
              <w:t xml:space="preserve">Cantidad </w:t>
            </w:r>
          </w:p>
        </w:tc>
        <w:tc>
          <w:tcPr>
            <w:tcW w:w="478" w:type="dxa"/>
            <w:shd w:val="clear" w:color="auto" w:fill="92D050"/>
            <w:hideMark/>
          </w:tcPr>
          <w:p w14:paraId="32FE0030" w14:textId="77777777" w:rsidR="002439C6" w:rsidRPr="002439C6" w:rsidRDefault="002439C6" w:rsidP="002439C6">
            <w:pPr>
              <w:spacing w:after="0" w:line="240" w:lineRule="auto"/>
              <w:rPr>
                <w:rFonts w:eastAsia="Times New Roman" w:cs="Calibri"/>
                <w:b/>
                <w:bCs/>
                <w:color w:val="000000"/>
                <w:sz w:val="16"/>
                <w:szCs w:val="16"/>
                <w:lang w:eastAsia="es-PY"/>
              </w:rPr>
            </w:pPr>
            <w:r w:rsidRPr="002439C6">
              <w:rPr>
                <w:rFonts w:eastAsia="Times New Roman" w:cs="Calibri"/>
                <w:b/>
                <w:bCs/>
                <w:color w:val="000000"/>
                <w:sz w:val="16"/>
                <w:szCs w:val="16"/>
                <w:lang w:eastAsia="es-PY"/>
              </w:rPr>
              <w:t xml:space="preserve">Unidad de medida </w:t>
            </w:r>
          </w:p>
        </w:tc>
        <w:tc>
          <w:tcPr>
            <w:tcW w:w="724" w:type="dxa"/>
            <w:shd w:val="clear" w:color="auto" w:fill="92D050"/>
            <w:hideMark/>
          </w:tcPr>
          <w:p w14:paraId="555A0163" w14:textId="77777777" w:rsidR="002439C6" w:rsidRPr="002439C6" w:rsidRDefault="002439C6" w:rsidP="002439C6">
            <w:pPr>
              <w:spacing w:after="0" w:line="240" w:lineRule="auto"/>
              <w:rPr>
                <w:rFonts w:eastAsia="Times New Roman" w:cs="Calibri"/>
                <w:b/>
                <w:bCs/>
                <w:color w:val="000000"/>
                <w:sz w:val="16"/>
                <w:szCs w:val="16"/>
                <w:lang w:eastAsia="es-PY"/>
              </w:rPr>
            </w:pPr>
            <w:r w:rsidRPr="002439C6">
              <w:rPr>
                <w:rFonts w:eastAsia="Times New Roman" w:cs="Calibri"/>
                <w:b/>
                <w:bCs/>
                <w:color w:val="000000"/>
                <w:sz w:val="16"/>
                <w:szCs w:val="16"/>
                <w:lang w:eastAsia="es-PY"/>
              </w:rPr>
              <w:t xml:space="preserve">Presentación </w:t>
            </w:r>
          </w:p>
        </w:tc>
        <w:tc>
          <w:tcPr>
            <w:tcW w:w="911" w:type="dxa"/>
            <w:shd w:val="clear" w:color="auto" w:fill="92D050"/>
            <w:hideMark/>
          </w:tcPr>
          <w:p w14:paraId="78F40588" w14:textId="77777777" w:rsidR="002439C6" w:rsidRPr="002439C6" w:rsidRDefault="002439C6" w:rsidP="002439C6">
            <w:pPr>
              <w:spacing w:after="0" w:line="240" w:lineRule="auto"/>
              <w:rPr>
                <w:rFonts w:eastAsia="Times New Roman" w:cs="Calibri"/>
                <w:b/>
                <w:bCs/>
                <w:color w:val="000000"/>
                <w:sz w:val="16"/>
                <w:szCs w:val="16"/>
                <w:lang w:eastAsia="es-PY"/>
              </w:rPr>
            </w:pPr>
            <w:r w:rsidRPr="002439C6">
              <w:rPr>
                <w:rFonts w:eastAsia="Times New Roman" w:cs="Calibri"/>
                <w:b/>
                <w:bCs/>
                <w:color w:val="000000"/>
                <w:sz w:val="16"/>
                <w:szCs w:val="16"/>
                <w:lang w:eastAsia="es-PY"/>
              </w:rPr>
              <w:t xml:space="preserve"> Precio Unitario Referencial (IVA INCLUIDO) </w:t>
            </w:r>
          </w:p>
        </w:tc>
        <w:tc>
          <w:tcPr>
            <w:tcW w:w="911" w:type="dxa"/>
            <w:shd w:val="clear" w:color="auto" w:fill="92D050"/>
            <w:hideMark/>
          </w:tcPr>
          <w:p w14:paraId="4485390D" w14:textId="77777777" w:rsidR="002439C6" w:rsidRPr="002439C6" w:rsidRDefault="002439C6" w:rsidP="002439C6">
            <w:pPr>
              <w:spacing w:after="0" w:line="240" w:lineRule="auto"/>
              <w:rPr>
                <w:rFonts w:eastAsia="Times New Roman" w:cs="Calibri"/>
                <w:b/>
                <w:bCs/>
                <w:color w:val="000000"/>
                <w:sz w:val="16"/>
                <w:szCs w:val="16"/>
                <w:lang w:eastAsia="es-PY"/>
              </w:rPr>
            </w:pPr>
            <w:r w:rsidRPr="002439C6">
              <w:rPr>
                <w:rFonts w:eastAsia="Times New Roman" w:cs="Calibri"/>
                <w:b/>
                <w:bCs/>
                <w:color w:val="000000"/>
                <w:sz w:val="16"/>
                <w:szCs w:val="16"/>
                <w:lang w:eastAsia="es-PY"/>
              </w:rPr>
              <w:t xml:space="preserve"> Precio Total Referencial (IVA INCLUIDO) </w:t>
            </w:r>
          </w:p>
        </w:tc>
      </w:tr>
      <w:tr w:rsidR="00581335" w:rsidRPr="002439C6" w14:paraId="460AD3D3" w14:textId="77777777" w:rsidTr="00581335">
        <w:trPr>
          <w:trHeight w:val="2040"/>
        </w:trPr>
        <w:tc>
          <w:tcPr>
            <w:tcW w:w="348" w:type="dxa"/>
            <w:shd w:val="clear" w:color="auto" w:fill="auto"/>
            <w:noWrap/>
            <w:hideMark/>
          </w:tcPr>
          <w:p w14:paraId="52D4E7D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52</w:t>
            </w:r>
          </w:p>
        </w:tc>
        <w:tc>
          <w:tcPr>
            <w:tcW w:w="1632" w:type="dxa"/>
            <w:shd w:val="clear" w:color="auto" w:fill="auto"/>
            <w:noWrap/>
            <w:hideMark/>
          </w:tcPr>
          <w:p w14:paraId="4CCE73F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Tubos eppendorf</w:t>
            </w:r>
          </w:p>
        </w:tc>
        <w:tc>
          <w:tcPr>
            <w:tcW w:w="3283" w:type="dxa"/>
            <w:shd w:val="clear" w:color="auto" w:fill="auto"/>
            <w:hideMark/>
          </w:tcPr>
          <w:p w14:paraId="27440DF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Tubos para microcentrífuga de 1,5 mL, fabricados en polipropileno de alta pureza con cierre a presión hermético para evitar pérdidas y paredes lisas que permiten una óptima recuperación de la muestra; aptos para centrifugación a altas velocidades (hasta 20.000 × g, según modelo) y resistentes a temperaturas entre -80 °C y 121 °C para su uso en congelación y esterilización por autoclave, con o sin graduación moldeada y alta transparencia. Presentación en bolsas de 500 unidades o similar.</w:t>
            </w:r>
          </w:p>
        </w:tc>
        <w:tc>
          <w:tcPr>
            <w:tcW w:w="541" w:type="dxa"/>
            <w:shd w:val="clear" w:color="auto" w:fill="auto"/>
            <w:hideMark/>
          </w:tcPr>
          <w:p w14:paraId="78D9B0B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w:t>
            </w:r>
          </w:p>
        </w:tc>
        <w:tc>
          <w:tcPr>
            <w:tcW w:w="478" w:type="dxa"/>
            <w:shd w:val="clear" w:color="auto" w:fill="auto"/>
            <w:noWrap/>
            <w:hideMark/>
          </w:tcPr>
          <w:p w14:paraId="525E89A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0FD44FB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5F04181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60.000 </w:t>
            </w:r>
          </w:p>
        </w:tc>
        <w:tc>
          <w:tcPr>
            <w:tcW w:w="911" w:type="dxa"/>
            <w:shd w:val="clear" w:color="auto" w:fill="auto"/>
            <w:noWrap/>
            <w:hideMark/>
          </w:tcPr>
          <w:p w14:paraId="3B1C418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600.000 </w:t>
            </w:r>
          </w:p>
        </w:tc>
      </w:tr>
      <w:tr w:rsidR="00581335" w:rsidRPr="002439C6" w14:paraId="45CBC00E" w14:textId="77777777" w:rsidTr="00581335">
        <w:trPr>
          <w:trHeight w:val="2040"/>
        </w:trPr>
        <w:tc>
          <w:tcPr>
            <w:tcW w:w="348" w:type="dxa"/>
            <w:shd w:val="clear" w:color="auto" w:fill="auto"/>
            <w:noWrap/>
            <w:hideMark/>
          </w:tcPr>
          <w:p w14:paraId="286D223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53</w:t>
            </w:r>
          </w:p>
        </w:tc>
        <w:tc>
          <w:tcPr>
            <w:tcW w:w="1632" w:type="dxa"/>
            <w:shd w:val="clear" w:color="auto" w:fill="auto"/>
            <w:noWrap/>
            <w:hideMark/>
          </w:tcPr>
          <w:p w14:paraId="7DC571C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Tubos tipo eppedorf</w:t>
            </w:r>
          </w:p>
        </w:tc>
        <w:tc>
          <w:tcPr>
            <w:tcW w:w="3283" w:type="dxa"/>
            <w:shd w:val="clear" w:color="auto" w:fill="auto"/>
            <w:hideMark/>
          </w:tcPr>
          <w:p w14:paraId="1AAB30D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Tubos para microcentrífuga de 2,0 mL, fabricados en polipropileno de alta pureza con cierre a presión hermético para evitar pérdidas y paredes lisas que permiten una óptima recuperación de la muestra; aptos para centrifugación a altas velocidades (hasta 20.000 × g, según modelo) y resistentes a temperaturas entre -80 °C y 121 °C para su uso en congelación y esterilización por autoclave, con o sin graduación moldeada y alta transparencia. Presentación en bolsas de 500 unidades o similar.</w:t>
            </w:r>
          </w:p>
        </w:tc>
        <w:tc>
          <w:tcPr>
            <w:tcW w:w="541" w:type="dxa"/>
            <w:shd w:val="clear" w:color="auto" w:fill="auto"/>
            <w:hideMark/>
          </w:tcPr>
          <w:p w14:paraId="347E9070"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w:t>
            </w:r>
          </w:p>
        </w:tc>
        <w:tc>
          <w:tcPr>
            <w:tcW w:w="478" w:type="dxa"/>
            <w:shd w:val="clear" w:color="auto" w:fill="auto"/>
            <w:noWrap/>
            <w:hideMark/>
          </w:tcPr>
          <w:p w14:paraId="7677DFB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6FCE772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5EBED16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67.500 </w:t>
            </w:r>
          </w:p>
        </w:tc>
        <w:tc>
          <w:tcPr>
            <w:tcW w:w="911" w:type="dxa"/>
            <w:shd w:val="clear" w:color="auto" w:fill="auto"/>
            <w:noWrap/>
            <w:hideMark/>
          </w:tcPr>
          <w:p w14:paraId="5973AD4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675.000 </w:t>
            </w:r>
          </w:p>
        </w:tc>
      </w:tr>
      <w:tr w:rsidR="00581335" w:rsidRPr="002439C6" w14:paraId="5756A2AE" w14:textId="77777777" w:rsidTr="00581335">
        <w:trPr>
          <w:trHeight w:val="2244"/>
        </w:trPr>
        <w:tc>
          <w:tcPr>
            <w:tcW w:w="348" w:type="dxa"/>
            <w:shd w:val="clear" w:color="auto" w:fill="auto"/>
            <w:noWrap/>
            <w:hideMark/>
          </w:tcPr>
          <w:p w14:paraId="3493C09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54</w:t>
            </w:r>
          </w:p>
        </w:tc>
        <w:tc>
          <w:tcPr>
            <w:tcW w:w="1632" w:type="dxa"/>
            <w:shd w:val="clear" w:color="auto" w:fill="auto"/>
            <w:noWrap/>
            <w:hideMark/>
          </w:tcPr>
          <w:p w14:paraId="234F283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Puntas para micrpipetas</w:t>
            </w:r>
          </w:p>
        </w:tc>
        <w:tc>
          <w:tcPr>
            <w:tcW w:w="3283" w:type="dxa"/>
            <w:shd w:val="clear" w:color="auto" w:fill="auto"/>
            <w:hideMark/>
          </w:tcPr>
          <w:p w14:paraId="2EC74A0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Puntas universales azules u otro color para micropipeta, fabricadas en polipropileno de alta pureza, diseñadas para dispensar volúmenes en el rango de 100 a 1.000 μL con alta precisión y mínima retención de muestra. Ajuste universal compatible con la mayoría de micropipetas de un solo y multicanal, con superficie lisa para evitar la adhesión de líquidos y garantizar una dosificación exacta. Aptas para esterilización por autoclave (121 °C) y resistentes a solventes comunes de laboratorio. Presentación en bolsas de 1000 unidades o similar.</w:t>
            </w:r>
          </w:p>
        </w:tc>
        <w:tc>
          <w:tcPr>
            <w:tcW w:w="541" w:type="dxa"/>
            <w:shd w:val="clear" w:color="auto" w:fill="auto"/>
            <w:hideMark/>
          </w:tcPr>
          <w:p w14:paraId="2E70E72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w:t>
            </w:r>
          </w:p>
        </w:tc>
        <w:tc>
          <w:tcPr>
            <w:tcW w:w="478" w:type="dxa"/>
            <w:shd w:val="clear" w:color="auto" w:fill="auto"/>
            <w:noWrap/>
            <w:hideMark/>
          </w:tcPr>
          <w:p w14:paraId="3C5FDA5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448376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2181AD8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150.000 </w:t>
            </w:r>
          </w:p>
        </w:tc>
        <w:tc>
          <w:tcPr>
            <w:tcW w:w="911" w:type="dxa"/>
            <w:shd w:val="clear" w:color="auto" w:fill="auto"/>
            <w:noWrap/>
            <w:hideMark/>
          </w:tcPr>
          <w:p w14:paraId="06E9EDD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1.500.000 </w:t>
            </w:r>
          </w:p>
        </w:tc>
      </w:tr>
      <w:tr w:rsidR="00581335" w:rsidRPr="002439C6" w14:paraId="5BDBE50C" w14:textId="77777777" w:rsidTr="00581335">
        <w:trPr>
          <w:trHeight w:val="2448"/>
        </w:trPr>
        <w:tc>
          <w:tcPr>
            <w:tcW w:w="348" w:type="dxa"/>
            <w:shd w:val="clear" w:color="auto" w:fill="auto"/>
            <w:noWrap/>
            <w:hideMark/>
          </w:tcPr>
          <w:p w14:paraId="31ABC8E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55</w:t>
            </w:r>
          </w:p>
        </w:tc>
        <w:tc>
          <w:tcPr>
            <w:tcW w:w="1632" w:type="dxa"/>
            <w:shd w:val="clear" w:color="auto" w:fill="auto"/>
            <w:noWrap/>
            <w:hideMark/>
          </w:tcPr>
          <w:p w14:paraId="2647EC2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Puntas para micrpipetas</w:t>
            </w:r>
          </w:p>
        </w:tc>
        <w:tc>
          <w:tcPr>
            <w:tcW w:w="3283" w:type="dxa"/>
            <w:shd w:val="clear" w:color="auto" w:fill="auto"/>
            <w:hideMark/>
          </w:tcPr>
          <w:p w14:paraId="303BC65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Puntas universales amarillas u otro color para micropipeta, fabricadas en polipropileno de alta pureza, diseñadas para dispensar volúmenes en el rango de 10 a 200 μL con alta precisión y mínima retención de muestra. Ajuste universal compatible con la mayoría de micropipetas de un solo y multicanal, con superficie lisa para evitar la adhesión de líquidos y garantizar una dosificación exacta. Aptas para esterilización por autoclave (121 °C) y resistentes a solventes comunes de laboratorio.Presentación en bolsas de 1000 unidades o similar.</w:t>
            </w:r>
          </w:p>
        </w:tc>
        <w:tc>
          <w:tcPr>
            <w:tcW w:w="541" w:type="dxa"/>
            <w:shd w:val="clear" w:color="auto" w:fill="auto"/>
            <w:hideMark/>
          </w:tcPr>
          <w:p w14:paraId="00351BE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w:t>
            </w:r>
          </w:p>
        </w:tc>
        <w:tc>
          <w:tcPr>
            <w:tcW w:w="478" w:type="dxa"/>
            <w:shd w:val="clear" w:color="auto" w:fill="auto"/>
            <w:noWrap/>
            <w:hideMark/>
          </w:tcPr>
          <w:p w14:paraId="107D138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296350B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621BDAB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96.500 </w:t>
            </w:r>
          </w:p>
        </w:tc>
        <w:tc>
          <w:tcPr>
            <w:tcW w:w="911" w:type="dxa"/>
            <w:shd w:val="clear" w:color="auto" w:fill="auto"/>
            <w:noWrap/>
            <w:hideMark/>
          </w:tcPr>
          <w:p w14:paraId="61A396C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965.000 </w:t>
            </w:r>
          </w:p>
        </w:tc>
      </w:tr>
      <w:tr w:rsidR="00581335" w:rsidRPr="002439C6" w14:paraId="27C72EC3" w14:textId="77777777" w:rsidTr="00581335">
        <w:trPr>
          <w:trHeight w:val="2244"/>
        </w:trPr>
        <w:tc>
          <w:tcPr>
            <w:tcW w:w="348" w:type="dxa"/>
            <w:shd w:val="clear" w:color="auto" w:fill="auto"/>
            <w:noWrap/>
            <w:hideMark/>
          </w:tcPr>
          <w:p w14:paraId="1DEEE34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56</w:t>
            </w:r>
          </w:p>
        </w:tc>
        <w:tc>
          <w:tcPr>
            <w:tcW w:w="1632" w:type="dxa"/>
            <w:shd w:val="clear" w:color="auto" w:fill="auto"/>
            <w:noWrap/>
            <w:hideMark/>
          </w:tcPr>
          <w:p w14:paraId="70915C6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Puntas para micrpipetas</w:t>
            </w:r>
          </w:p>
        </w:tc>
        <w:tc>
          <w:tcPr>
            <w:tcW w:w="3283" w:type="dxa"/>
            <w:shd w:val="clear" w:color="auto" w:fill="auto"/>
            <w:hideMark/>
          </w:tcPr>
          <w:p w14:paraId="1391C35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Puntas universales blancas u otro color para micropipeta, fabricadas en polipropileno de alta pureza, diseñadas para dispensar volúmenes en el rango de 0,1 a 10 μL con alta precisión y mínima retención de muestra. Ajuste universal compatible con la mayoría de micropipetas de un solo y multicanal, con superficie lisa para evitar la adhesión de líquidos y garantizar una dosificación exacta. Aptas para esterilización por autoclave (121 °C) y resistentes a solventes comunes de laboratorio.Presentación en bolsas de 1000 unidades</w:t>
            </w:r>
          </w:p>
        </w:tc>
        <w:tc>
          <w:tcPr>
            <w:tcW w:w="541" w:type="dxa"/>
            <w:shd w:val="clear" w:color="auto" w:fill="auto"/>
            <w:hideMark/>
          </w:tcPr>
          <w:p w14:paraId="59FEB86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w:t>
            </w:r>
          </w:p>
        </w:tc>
        <w:tc>
          <w:tcPr>
            <w:tcW w:w="478" w:type="dxa"/>
            <w:shd w:val="clear" w:color="auto" w:fill="auto"/>
            <w:noWrap/>
            <w:hideMark/>
          </w:tcPr>
          <w:p w14:paraId="1BF4B67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6098AF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0723F58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79.000 </w:t>
            </w:r>
          </w:p>
        </w:tc>
        <w:tc>
          <w:tcPr>
            <w:tcW w:w="911" w:type="dxa"/>
            <w:shd w:val="clear" w:color="auto" w:fill="auto"/>
            <w:noWrap/>
            <w:hideMark/>
          </w:tcPr>
          <w:p w14:paraId="098E00F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790.000 </w:t>
            </w:r>
          </w:p>
        </w:tc>
      </w:tr>
      <w:tr w:rsidR="00581335" w:rsidRPr="002439C6" w14:paraId="30F3C3D5" w14:textId="77777777" w:rsidTr="00581335">
        <w:trPr>
          <w:trHeight w:val="2244"/>
        </w:trPr>
        <w:tc>
          <w:tcPr>
            <w:tcW w:w="348" w:type="dxa"/>
            <w:shd w:val="clear" w:color="auto" w:fill="auto"/>
            <w:noWrap/>
            <w:hideMark/>
          </w:tcPr>
          <w:p w14:paraId="1F59C96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57</w:t>
            </w:r>
          </w:p>
        </w:tc>
        <w:tc>
          <w:tcPr>
            <w:tcW w:w="1632" w:type="dxa"/>
            <w:shd w:val="clear" w:color="auto" w:fill="auto"/>
            <w:noWrap/>
            <w:hideMark/>
          </w:tcPr>
          <w:p w14:paraId="52914B9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Racks de puntas </w:t>
            </w:r>
          </w:p>
        </w:tc>
        <w:tc>
          <w:tcPr>
            <w:tcW w:w="3283" w:type="dxa"/>
            <w:shd w:val="clear" w:color="auto" w:fill="auto"/>
            <w:hideMark/>
          </w:tcPr>
          <w:p w14:paraId="2B0DB66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Racks de puntas azules u otro color, estériles,  para micropipeta, presentados en estuches plásticos rígidos y reutilizables que facilitan el almacenamiento ordenado y la manipulación estéril de las puntas. Contienen puntas de polipropileno de alta pureza, diseñadas para dispensar volúmenes de 100 a 1.000 μL con alta precisión y mínima retención de muestra. Compatibles con la mayoría de micropipetas de un solo y multicanal, ofrecen ajuste seguro y hermético. Las puntas y el rack son aptos para esterilización en autoclave (121 °C).</w:t>
            </w:r>
          </w:p>
        </w:tc>
        <w:tc>
          <w:tcPr>
            <w:tcW w:w="541" w:type="dxa"/>
            <w:shd w:val="clear" w:color="auto" w:fill="auto"/>
            <w:hideMark/>
          </w:tcPr>
          <w:p w14:paraId="481B390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w:t>
            </w:r>
          </w:p>
        </w:tc>
        <w:tc>
          <w:tcPr>
            <w:tcW w:w="478" w:type="dxa"/>
            <w:shd w:val="clear" w:color="auto" w:fill="auto"/>
            <w:noWrap/>
            <w:hideMark/>
          </w:tcPr>
          <w:p w14:paraId="5767907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3B1D232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67DA82C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51.000 </w:t>
            </w:r>
          </w:p>
        </w:tc>
        <w:tc>
          <w:tcPr>
            <w:tcW w:w="911" w:type="dxa"/>
            <w:shd w:val="clear" w:color="auto" w:fill="auto"/>
            <w:noWrap/>
            <w:hideMark/>
          </w:tcPr>
          <w:p w14:paraId="44D816E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510.000 </w:t>
            </w:r>
          </w:p>
        </w:tc>
      </w:tr>
      <w:tr w:rsidR="00581335" w:rsidRPr="002439C6" w14:paraId="79D565D7" w14:textId="77777777" w:rsidTr="00581335">
        <w:trPr>
          <w:trHeight w:val="2244"/>
        </w:trPr>
        <w:tc>
          <w:tcPr>
            <w:tcW w:w="348" w:type="dxa"/>
            <w:shd w:val="clear" w:color="auto" w:fill="auto"/>
            <w:noWrap/>
            <w:hideMark/>
          </w:tcPr>
          <w:p w14:paraId="12AC9E6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58</w:t>
            </w:r>
          </w:p>
        </w:tc>
        <w:tc>
          <w:tcPr>
            <w:tcW w:w="1632" w:type="dxa"/>
            <w:shd w:val="clear" w:color="auto" w:fill="auto"/>
            <w:noWrap/>
            <w:hideMark/>
          </w:tcPr>
          <w:p w14:paraId="03453E4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Racks de puntas </w:t>
            </w:r>
          </w:p>
        </w:tc>
        <w:tc>
          <w:tcPr>
            <w:tcW w:w="3283" w:type="dxa"/>
            <w:shd w:val="clear" w:color="auto" w:fill="auto"/>
            <w:hideMark/>
          </w:tcPr>
          <w:p w14:paraId="12728BA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Racks de puntas amarillas u otro color, estériles,  para micropipeta, presentados en estuches plásticos rígidos y reutilizables que facilitan el almacenamiento ordenado y la manipulación estéril de las puntas. Contienen puntas de polipropileno de alta pureza, diseñadas para dispensar volúmenes de 10 a 200 μL con alta precisión y mínima retención de muestra. Compatibles con la mayoría de micropipetas de un solo y multicanal, ofrecen ajuste seguro y hermético. Las puntas y el rack son aptos para esterilización en autoclave (121 °C).</w:t>
            </w:r>
          </w:p>
        </w:tc>
        <w:tc>
          <w:tcPr>
            <w:tcW w:w="541" w:type="dxa"/>
            <w:shd w:val="clear" w:color="auto" w:fill="auto"/>
            <w:hideMark/>
          </w:tcPr>
          <w:p w14:paraId="4F651E9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w:t>
            </w:r>
          </w:p>
        </w:tc>
        <w:tc>
          <w:tcPr>
            <w:tcW w:w="478" w:type="dxa"/>
            <w:shd w:val="clear" w:color="auto" w:fill="auto"/>
            <w:noWrap/>
            <w:hideMark/>
          </w:tcPr>
          <w:p w14:paraId="7552DD1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06F9C170"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367E8AC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35.000 </w:t>
            </w:r>
          </w:p>
        </w:tc>
        <w:tc>
          <w:tcPr>
            <w:tcW w:w="911" w:type="dxa"/>
            <w:shd w:val="clear" w:color="auto" w:fill="auto"/>
            <w:noWrap/>
            <w:hideMark/>
          </w:tcPr>
          <w:p w14:paraId="2F9ECAC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350.000 </w:t>
            </w:r>
          </w:p>
        </w:tc>
      </w:tr>
      <w:tr w:rsidR="00581335" w:rsidRPr="002439C6" w14:paraId="70997781" w14:textId="77777777" w:rsidTr="00581335">
        <w:trPr>
          <w:trHeight w:val="2244"/>
        </w:trPr>
        <w:tc>
          <w:tcPr>
            <w:tcW w:w="348" w:type="dxa"/>
            <w:shd w:val="clear" w:color="auto" w:fill="auto"/>
            <w:noWrap/>
            <w:hideMark/>
          </w:tcPr>
          <w:p w14:paraId="0AB0E27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59</w:t>
            </w:r>
          </w:p>
        </w:tc>
        <w:tc>
          <w:tcPr>
            <w:tcW w:w="1632" w:type="dxa"/>
            <w:shd w:val="clear" w:color="auto" w:fill="auto"/>
            <w:noWrap/>
            <w:hideMark/>
          </w:tcPr>
          <w:p w14:paraId="3EEDB92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Racks de puntas </w:t>
            </w:r>
          </w:p>
        </w:tc>
        <w:tc>
          <w:tcPr>
            <w:tcW w:w="3283" w:type="dxa"/>
            <w:shd w:val="clear" w:color="auto" w:fill="auto"/>
            <w:hideMark/>
          </w:tcPr>
          <w:p w14:paraId="40E46AD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Racks de puntas blancas u otro color, estériles,  para micropipeta, presentados en estuches plásticos rígidos y reutilizables que facilitan el almacenamiento ordenado y la manipulación estéril de las puntas. Contienen puntas de polipropileno de alta pureza, diseñadas para dispensar volúmenes de 0,1 a 10 μL con alta precisión y mínima retención de muestra. Compatibles con la mayoría de micropipetas de un solo y multicanal, ofrecen ajuste seguro y hermético. Las puntas y el rack son aptos para esterilización en autoclave (121 °C).</w:t>
            </w:r>
          </w:p>
        </w:tc>
        <w:tc>
          <w:tcPr>
            <w:tcW w:w="541" w:type="dxa"/>
            <w:shd w:val="clear" w:color="auto" w:fill="auto"/>
            <w:hideMark/>
          </w:tcPr>
          <w:p w14:paraId="15E3FFB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w:t>
            </w:r>
          </w:p>
        </w:tc>
        <w:tc>
          <w:tcPr>
            <w:tcW w:w="478" w:type="dxa"/>
            <w:shd w:val="clear" w:color="auto" w:fill="auto"/>
            <w:noWrap/>
            <w:hideMark/>
          </w:tcPr>
          <w:p w14:paraId="66D5029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4D22EA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5E54B2E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40.000 </w:t>
            </w:r>
          </w:p>
        </w:tc>
        <w:tc>
          <w:tcPr>
            <w:tcW w:w="911" w:type="dxa"/>
            <w:shd w:val="clear" w:color="auto" w:fill="auto"/>
            <w:noWrap/>
            <w:hideMark/>
          </w:tcPr>
          <w:p w14:paraId="726039E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400.000 </w:t>
            </w:r>
          </w:p>
        </w:tc>
      </w:tr>
      <w:tr w:rsidR="00581335" w:rsidRPr="002439C6" w14:paraId="58F1EA4E" w14:textId="77777777" w:rsidTr="00581335">
        <w:trPr>
          <w:trHeight w:val="2856"/>
        </w:trPr>
        <w:tc>
          <w:tcPr>
            <w:tcW w:w="348" w:type="dxa"/>
            <w:shd w:val="clear" w:color="auto" w:fill="auto"/>
            <w:noWrap/>
            <w:hideMark/>
          </w:tcPr>
          <w:p w14:paraId="4A8A78F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60</w:t>
            </w:r>
          </w:p>
        </w:tc>
        <w:tc>
          <w:tcPr>
            <w:tcW w:w="1632" w:type="dxa"/>
            <w:shd w:val="clear" w:color="auto" w:fill="auto"/>
            <w:noWrap/>
            <w:hideMark/>
          </w:tcPr>
          <w:p w14:paraId="3D5055C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Placas de petri descartables</w:t>
            </w:r>
          </w:p>
        </w:tc>
        <w:tc>
          <w:tcPr>
            <w:tcW w:w="3283" w:type="dxa"/>
            <w:shd w:val="clear" w:color="auto" w:fill="auto"/>
            <w:hideMark/>
          </w:tcPr>
          <w:p w14:paraId="4DF6B0C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Placas de Petri estériles de 90 mm de diámetro, fabricadas en plástico transparente de alta calidad, libres de deformaciones y con superficie interna lisa que asegura una distribución uniforme de los medios de cultivo. Sin divisiones internas, estériles y en bolsas 10 unidades o similar, listas para su uso en procedimientos microbiológicos. Aptas para el cultivo de bacterias, hongos y otros microorganismos, ofrecen excelente visibilidad y manipulación segura. Resistentes a las temperaturas de incubación habituales en laboratorio, con bordes perfectamente alineados para facilitar el apilado y minimizar el riesgo de contaminación cruzada. </w:t>
            </w:r>
          </w:p>
        </w:tc>
        <w:tc>
          <w:tcPr>
            <w:tcW w:w="541" w:type="dxa"/>
            <w:shd w:val="clear" w:color="auto" w:fill="auto"/>
            <w:hideMark/>
          </w:tcPr>
          <w:p w14:paraId="0BE83F60"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1000</w:t>
            </w:r>
          </w:p>
        </w:tc>
        <w:tc>
          <w:tcPr>
            <w:tcW w:w="478" w:type="dxa"/>
            <w:shd w:val="clear" w:color="auto" w:fill="auto"/>
            <w:noWrap/>
            <w:hideMark/>
          </w:tcPr>
          <w:p w14:paraId="67D3F62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99628E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20ACFD3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16.500 </w:t>
            </w:r>
          </w:p>
        </w:tc>
        <w:tc>
          <w:tcPr>
            <w:tcW w:w="911" w:type="dxa"/>
            <w:shd w:val="clear" w:color="auto" w:fill="auto"/>
            <w:noWrap/>
            <w:hideMark/>
          </w:tcPr>
          <w:p w14:paraId="277BF1A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16.500.000 </w:t>
            </w:r>
          </w:p>
        </w:tc>
      </w:tr>
      <w:tr w:rsidR="00581335" w:rsidRPr="002439C6" w14:paraId="6DC51C5C" w14:textId="77777777" w:rsidTr="00581335">
        <w:trPr>
          <w:trHeight w:val="2856"/>
        </w:trPr>
        <w:tc>
          <w:tcPr>
            <w:tcW w:w="348" w:type="dxa"/>
            <w:shd w:val="clear" w:color="auto" w:fill="auto"/>
            <w:noWrap/>
            <w:hideMark/>
          </w:tcPr>
          <w:p w14:paraId="53B6A85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61</w:t>
            </w:r>
          </w:p>
        </w:tc>
        <w:tc>
          <w:tcPr>
            <w:tcW w:w="1632" w:type="dxa"/>
            <w:shd w:val="clear" w:color="auto" w:fill="auto"/>
            <w:noWrap/>
            <w:hideMark/>
          </w:tcPr>
          <w:p w14:paraId="21653B6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Placas de petri descartables</w:t>
            </w:r>
          </w:p>
        </w:tc>
        <w:tc>
          <w:tcPr>
            <w:tcW w:w="3283" w:type="dxa"/>
            <w:shd w:val="clear" w:color="auto" w:fill="auto"/>
            <w:hideMark/>
          </w:tcPr>
          <w:p w14:paraId="43A45C1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Placas de Petri estériles de 6 mm de diámetro, fabricadas en plástico transparente de alta calidad, libres de deformaciones y con superficie interna lisa que asegura una distribución uniforme de los medios de cultivo. Sin divisiones internas, estériles y en bolsas selladas de 10 unidades o simlar, listas para su uso en procedimientos microbiológicos. Aptas para el cultivo de bacterias, hongos y otros microorganismos, ofrecen excelente visibilidad y manipulación segura. Resistentes a las temperaturas de incubación habituales en laboratorio, con bordes perfectamente alineados para facilitar el apilado y minimizar el riesgo de contaminación cruzada.</w:t>
            </w:r>
          </w:p>
        </w:tc>
        <w:tc>
          <w:tcPr>
            <w:tcW w:w="541" w:type="dxa"/>
            <w:shd w:val="clear" w:color="auto" w:fill="auto"/>
            <w:hideMark/>
          </w:tcPr>
          <w:p w14:paraId="136DECB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500</w:t>
            </w:r>
          </w:p>
        </w:tc>
        <w:tc>
          <w:tcPr>
            <w:tcW w:w="478" w:type="dxa"/>
            <w:shd w:val="clear" w:color="auto" w:fill="auto"/>
            <w:noWrap/>
            <w:hideMark/>
          </w:tcPr>
          <w:p w14:paraId="7B1F2D2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76150B7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206682D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13.000 </w:t>
            </w:r>
          </w:p>
        </w:tc>
        <w:tc>
          <w:tcPr>
            <w:tcW w:w="911" w:type="dxa"/>
            <w:shd w:val="clear" w:color="auto" w:fill="auto"/>
            <w:noWrap/>
            <w:hideMark/>
          </w:tcPr>
          <w:p w14:paraId="17B74B0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6.500.000 </w:t>
            </w:r>
          </w:p>
        </w:tc>
      </w:tr>
      <w:tr w:rsidR="00581335" w:rsidRPr="002439C6" w14:paraId="36571381" w14:textId="77777777" w:rsidTr="00581335">
        <w:trPr>
          <w:trHeight w:val="3060"/>
        </w:trPr>
        <w:tc>
          <w:tcPr>
            <w:tcW w:w="348" w:type="dxa"/>
            <w:shd w:val="clear" w:color="auto" w:fill="auto"/>
            <w:noWrap/>
            <w:hideMark/>
          </w:tcPr>
          <w:p w14:paraId="3DDDDBB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62</w:t>
            </w:r>
          </w:p>
        </w:tc>
        <w:tc>
          <w:tcPr>
            <w:tcW w:w="1632" w:type="dxa"/>
            <w:shd w:val="clear" w:color="auto" w:fill="auto"/>
            <w:noWrap/>
            <w:hideMark/>
          </w:tcPr>
          <w:p w14:paraId="0342399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Tubos tipo falcon</w:t>
            </w:r>
          </w:p>
        </w:tc>
        <w:tc>
          <w:tcPr>
            <w:tcW w:w="3283" w:type="dxa"/>
            <w:shd w:val="clear" w:color="auto" w:fill="auto"/>
            <w:hideMark/>
          </w:tcPr>
          <w:p w14:paraId="1EA9493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Tubos tipo Falcon de 15 mL, fabricados en polipropileno de alta resistencia, diseñados para el manejo y almacenamiento seguro de muestras líquidas en laboratorio. Presentan tapa rosca a prueba de fugas con sello hermético, cuerpo cónico para facilitar la recolección de sedimentos y graduación moldeada en la pared para mediciones precisas. Aptos para centrifugación a altas velocidades (según especificación del fabricante), resistentes a un amplio rango de temperaturas y compatibles con refrigeración, congelación y esterilización por autoclave (121 °C). El material transparente permite una clara visualización del contenido. Presentación en bolsas de 500 unidades o similar.</w:t>
            </w:r>
          </w:p>
        </w:tc>
        <w:tc>
          <w:tcPr>
            <w:tcW w:w="541" w:type="dxa"/>
            <w:shd w:val="clear" w:color="auto" w:fill="auto"/>
            <w:hideMark/>
          </w:tcPr>
          <w:p w14:paraId="5F6A0B7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100</w:t>
            </w:r>
          </w:p>
        </w:tc>
        <w:tc>
          <w:tcPr>
            <w:tcW w:w="478" w:type="dxa"/>
            <w:shd w:val="clear" w:color="auto" w:fill="auto"/>
            <w:noWrap/>
            <w:hideMark/>
          </w:tcPr>
          <w:p w14:paraId="024687D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66D6BC2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56FD8EC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61.000 </w:t>
            </w:r>
          </w:p>
        </w:tc>
        <w:tc>
          <w:tcPr>
            <w:tcW w:w="911" w:type="dxa"/>
            <w:shd w:val="clear" w:color="auto" w:fill="auto"/>
            <w:noWrap/>
            <w:hideMark/>
          </w:tcPr>
          <w:p w14:paraId="585B018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6.100.000 </w:t>
            </w:r>
          </w:p>
        </w:tc>
      </w:tr>
      <w:tr w:rsidR="00581335" w:rsidRPr="002439C6" w14:paraId="3EB4B795" w14:textId="77777777" w:rsidTr="00581335">
        <w:trPr>
          <w:trHeight w:val="3060"/>
        </w:trPr>
        <w:tc>
          <w:tcPr>
            <w:tcW w:w="348" w:type="dxa"/>
            <w:shd w:val="clear" w:color="auto" w:fill="auto"/>
            <w:noWrap/>
            <w:hideMark/>
          </w:tcPr>
          <w:p w14:paraId="459405D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63</w:t>
            </w:r>
          </w:p>
        </w:tc>
        <w:tc>
          <w:tcPr>
            <w:tcW w:w="1632" w:type="dxa"/>
            <w:shd w:val="clear" w:color="auto" w:fill="auto"/>
            <w:noWrap/>
            <w:hideMark/>
          </w:tcPr>
          <w:p w14:paraId="5AB0077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Tubos tipo falcon</w:t>
            </w:r>
          </w:p>
        </w:tc>
        <w:tc>
          <w:tcPr>
            <w:tcW w:w="3283" w:type="dxa"/>
            <w:shd w:val="clear" w:color="auto" w:fill="auto"/>
            <w:hideMark/>
          </w:tcPr>
          <w:p w14:paraId="2E1BCA6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Tubos tipo Falcon de 15 mL, fabricados en polipropileno de alta resistencia, diseñados para el manejo y almacenamiento seguro de muestras líquidas en laboratorio. Presentan tapa rosca a prueba de fugas con sello hermético, cuerpo cónico para facilitar la recolección de sedimentos y graduación moldeada en la pared para mediciones precisas. Aptos para centrifugación a altas velocidades (según especificación del fabricante), resistentes a un amplio rango de temperaturas y compatibles con refrigeración, congelación y esterilización por autoclave (121 °C). El material transparente permite una clara visualización del contenido. Presentación en bolsas de 5 unidades o similar.</w:t>
            </w:r>
          </w:p>
        </w:tc>
        <w:tc>
          <w:tcPr>
            <w:tcW w:w="541" w:type="dxa"/>
            <w:shd w:val="clear" w:color="auto" w:fill="auto"/>
            <w:hideMark/>
          </w:tcPr>
          <w:p w14:paraId="7B2FDD20"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100</w:t>
            </w:r>
          </w:p>
        </w:tc>
        <w:tc>
          <w:tcPr>
            <w:tcW w:w="478" w:type="dxa"/>
            <w:shd w:val="clear" w:color="auto" w:fill="auto"/>
            <w:noWrap/>
            <w:hideMark/>
          </w:tcPr>
          <w:p w14:paraId="7643186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070CD48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1243260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51.000 </w:t>
            </w:r>
          </w:p>
        </w:tc>
        <w:tc>
          <w:tcPr>
            <w:tcW w:w="911" w:type="dxa"/>
            <w:shd w:val="clear" w:color="auto" w:fill="auto"/>
            <w:noWrap/>
            <w:hideMark/>
          </w:tcPr>
          <w:p w14:paraId="3516973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5.100.000 </w:t>
            </w:r>
          </w:p>
        </w:tc>
      </w:tr>
      <w:tr w:rsidR="00581335" w:rsidRPr="002439C6" w14:paraId="4DF6E529" w14:textId="77777777" w:rsidTr="00581335">
        <w:trPr>
          <w:trHeight w:val="3060"/>
        </w:trPr>
        <w:tc>
          <w:tcPr>
            <w:tcW w:w="348" w:type="dxa"/>
            <w:shd w:val="clear" w:color="auto" w:fill="auto"/>
            <w:noWrap/>
            <w:hideMark/>
          </w:tcPr>
          <w:p w14:paraId="35F3A05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64</w:t>
            </w:r>
          </w:p>
        </w:tc>
        <w:tc>
          <w:tcPr>
            <w:tcW w:w="1632" w:type="dxa"/>
            <w:shd w:val="clear" w:color="auto" w:fill="auto"/>
            <w:noWrap/>
            <w:hideMark/>
          </w:tcPr>
          <w:p w14:paraId="5E5B72A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Tubos para pcr convencional</w:t>
            </w:r>
          </w:p>
        </w:tc>
        <w:tc>
          <w:tcPr>
            <w:tcW w:w="3283" w:type="dxa"/>
            <w:shd w:val="clear" w:color="auto" w:fill="auto"/>
            <w:hideMark/>
          </w:tcPr>
          <w:p w14:paraId="7549BE2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Tubos para PCR convencional, fabricados en polipropileno de alta pureza y libre de DNasa, RNasa y endotoxinas, diseñados para soportar los ciclos de temperatura de los termocicladores sin deformarse ni comprometer la integridad de la reacción. Paredes delgadas que aseguran una óptima transferencia térmica y tapa a presión hermética que evita la evaporación y la contaminación cruzada. Disponibles en formatos de 0,2 mL  y compatibles con la mayoría de termocicladores estándar. Resistentes a temperaturas extremas, desde congelación hasta 121 °C (autoclave), garantizando un desempeño confiable en aplicaciones de amplificación de ADN por PCR. Presentación en bolsas de 1000 unidades o similar.</w:t>
            </w:r>
          </w:p>
        </w:tc>
        <w:tc>
          <w:tcPr>
            <w:tcW w:w="541" w:type="dxa"/>
            <w:shd w:val="clear" w:color="auto" w:fill="auto"/>
            <w:hideMark/>
          </w:tcPr>
          <w:p w14:paraId="2911412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3</w:t>
            </w:r>
          </w:p>
        </w:tc>
        <w:tc>
          <w:tcPr>
            <w:tcW w:w="478" w:type="dxa"/>
            <w:shd w:val="clear" w:color="auto" w:fill="auto"/>
            <w:noWrap/>
            <w:hideMark/>
          </w:tcPr>
          <w:p w14:paraId="15FC49C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0AA8543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76B4209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230.000 </w:t>
            </w:r>
          </w:p>
        </w:tc>
        <w:tc>
          <w:tcPr>
            <w:tcW w:w="911" w:type="dxa"/>
            <w:shd w:val="clear" w:color="auto" w:fill="auto"/>
            <w:noWrap/>
            <w:hideMark/>
          </w:tcPr>
          <w:p w14:paraId="775333C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690.000 </w:t>
            </w:r>
          </w:p>
        </w:tc>
      </w:tr>
      <w:tr w:rsidR="00581335" w:rsidRPr="002439C6" w14:paraId="32772816" w14:textId="77777777" w:rsidTr="00581335">
        <w:trPr>
          <w:trHeight w:val="3264"/>
        </w:trPr>
        <w:tc>
          <w:tcPr>
            <w:tcW w:w="348" w:type="dxa"/>
            <w:shd w:val="clear" w:color="auto" w:fill="auto"/>
            <w:noWrap/>
            <w:hideMark/>
          </w:tcPr>
          <w:p w14:paraId="13C23DD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65</w:t>
            </w:r>
          </w:p>
        </w:tc>
        <w:tc>
          <w:tcPr>
            <w:tcW w:w="1632" w:type="dxa"/>
            <w:shd w:val="clear" w:color="auto" w:fill="auto"/>
            <w:noWrap/>
            <w:hideMark/>
          </w:tcPr>
          <w:p w14:paraId="1DCA78A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Tiras para pcr convencional con tapa</w:t>
            </w:r>
          </w:p>
        </w:tc>
        <w:tc>
          <w:tcPr>
            <w:tcW w:w="3283" w:type="dxa"/>
            <w:shd w:val="clear" w:color="auto" w:fill="auto"/>
            <w:hideMark/>
          </w:tcPr>
          <w:p w14:paraId="7B8396E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Tubos para PCR convencional en tiras con tapas, fabricados en polipropileno de alta pureza y libre de DNasa, RNasa y endotoxinas, diseñados para soportar los ciclos de temperatura de los termocicladores sin deformarse ni comprometer la integridad de la reacción. Paredes delgadas que aseguran una óptima transferencia térmica y tapa a presión hermética que evita la evaporación y la contaminación cruzada. Disponibles en formatos de 0,2 mL en tiras  y compatibles con la mayoría de termocicladores estándar. Resistentes a temperaturas extremas, desde congelación hasta 121 °C (autoclave), garantizando un desempeño confiable en aplicaciones de amplificación de ADN por PCR. Presentación en bolsas de 125 unidades o similar.</w:t>
            </w:r>
          </w:p>
        </w:tc>
        <w:tc>
          <w:tcPr>
            <w:tcW w:w="541" w:type="dxa"/>
            <w:shd w:val="clear" w:color="auto" w:fill="auto"/>
            <w:hideMark/>
          </w:tcPr>
          <w:p w14:paraId="0241F06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4</w:t>
            </w:r>
          </w:p>
        </w:tc>
        <w:tc>
          <w:tcPr>
            <w:tcW w:w="478" w:type="dxa"/>
            <w:shd w:val="clear" w:color="auto" w:fill="auto"/>
            <w:noWrap/>
            <w:hideMark/>
          </w:tcPr>
          <w:p w14:paraId="36B0148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C11587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607BA5A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362.000 </w:t>
            </w:r>
          </w:p>
        </w:tc>
        <w:tc>
          <w:tcPr>
            <w:tcW w:w="911" w:type="dxa"/>
            <w:shd w:val="clear" w:color="auto" w:fill="auto"/>
            <w:noWrap/>
            <w:hideMark/>
          </w:tcPr>
          <w:p w14:paraId="028E91A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1.448.000 </w:t>
            </w:r>
          </w:p>
        </w:tc>
      </w:tr>
      <w:tr w:rsidR="00581335" w:rsidRPr="002439C6" w14:paraId="5A2DC551" w14:textId="77777777" w:rsidTr="00581335">
        <w:trPr>
          <w:trHeight w:val="3876"/>
        </w:trPr>
        <w:tc>
          <w:tcPr>
            <w:tcW w:w="348" w:type="dxa"/>
            <w:shd w:val="clear" w:color="auto" w:fill="auto"/>
            <w:noWrap/>
            <w:hideMark/>
          </w:tcPr>
          <w:p w14:paraId="20499B1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66</w:t>
            </w:r>
          </w:p>
        </w:tc>
        <w:tc>
          <w:tcPr>
            <w:tcW w:w="1632" w:type="dxa"/>
            <w:shd w:val="clear" w:color="auto" w:fill="auto"/>
            <w:noWrap/>
            <w:hideMark/>
          </w:tcPr>
          <w:p w14:paraId="42D00D6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Placas para pcr </w:t>
            </w:r>
          </w:p>
        </w:tc>
        <w:tc>
          <w:tcPr>
            <w:tcW w:w="3283" w:type="dxa"/>
            <w:shd w:val="clear" w:color="auto" w:fill="auto"/>
            <w:hideMark/>
          </w:tcPr>
          <w:p w14:paraId="429E59B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Placas de plástico para reacciones de PCR, fabricadas en polipropileno de alta pureza, libres de DNasa, RNasa y endotoxinas, con capacidad de 0,1 mL o 0,2 mL por pocillo, según modelo. Diseñadas para soportar ciclos repetidos de cambios de temperatura en termocicladores sin deformarse ni comprometer la eficiencia de amplificación. Presentan paredes delgadas para una óptima transferencia térmica y, en el caso de aplicaciones en tiempo real, superficie y tapas ópticas transparentes que permiten la lectura precisa de fluorescencia. Disponibles en formato de 96 pocillos (semi-skirted, skirted o sin falda), compatibles con la mayoría de termocicladores convencionales y en tiempo real. Aptas para sellado con film o tapas, resistentes a temperaturas extremas y diseñadas para garantizar reproducibilidad y alta sensibilidad en las reacciones de PCR. Presebtación en bolsas de 500 unidades o similar.</w:t>
            </w:r>
          </w:p>
        </w:tc>
        <w:tc>
          <w:tcPr>
            <w:tcW w:w="541" w:type="dxa"/>
            <w:shd w:val="clear" w:color="auto" w:fill="auto"/>
            <w:hideMark/>
          </w:tcPr>
          <w:p w14:paraId="4FE5B280"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20</w:t>
            </w:r>
          </w:p>
        </w:tc>
        <w:tc>
          <w:tcPr>
            <w:tcW w:w="478" w:type="dxa"/>
            <w:shd w:val="clear" w:color="auto" w:fill="auto"/>
            <w:noWrap/>
            <w:hideMark/>
          </w:tcPr>
          <w:p w14:paraId="39FDC89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58053ED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5C49A7B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199.000 </w:t>
            </w:r>
          </w:p>
        </w:tc>
        <w:tc>
          <w:tcPr>
            <w:tcW w:w="911" w:type="dxa"/>
            <w:shd w:val="clear" w:color="auto" w:fill="auto"/>
            <w:noWrap/>
            <w:hideMark/>
          </w:tcPr>
          <w:p w14:paraId="10B3BB8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3.980.000 </w:t>
            </w:r>
          </w:p>
        </w:tc>
      </w:tr>
      <w:tr w:rsidR="00581335" w:rsidRPr="002439C6" w14:paraId="792E790E" w14:textId="77777777" w:rsidTr="00581335">
        <w:trPr>
          <w:trHeight w:val="3468"/>
        </w:trPr>
        <w:tc>
          <w:tcPr>
            <w:tcW w:w="348" w:type="dxa"/>
            <w:shd w:val="clear" w:color="auto" w:fill="auto"/>
            <w:noWrap/>
            <w:hideMark/>
          </w:tcPr>
          <w:p w14:paraId="28F792C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67</w:t>
            </w:r>
          </w:p>
        </w:tc>
        <w:tc>
          <w:tcPr>
            <w:tcW w:w="1632" w:type="dxa"/>
            <w:shd w:val="clear" w:color="auto" w:fill="auto"/>
            <w:noWrap/>
            <w:hideMark/>
          </w:tcPr>
          <w:p w14:paraId="3CC6109E"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Láminas para placas pcr tiempo real</w:t>
            </w:r>
          </w:p>
        </w:tc>
        <w:tc>
          <w:tcPr>
            <w:tcW w:w="3283" w:type="dxa"/>
            <w:shd w:val="clear" w:color="auto" w:fill="auto"/>
            <w:hideMark/>
          </w:tcPr>
          <w:p w14:paraId="157845B5" w14:textId="77777777" w:rsidR="002439C6" w:rsidRPr="002439C6" w:rsidRDefault="002439C6" w:rsidP="002439C6">
            <w:pPr>
              <w:spacing w:after="0" w:line="240" w:lineRule="auto"/>
              <w:rPr>
                <w:rFonts w:ascii="Arial" w:eastAsia="Times New Roman" w:hAnsi="Arial" w:cs="Arial"/>
                <w:sz w:val="16"/>
                <w:szCs w:val="16"/>
                <w:lang w:eastAsia="es-PY"/>
              </w:rPr>
            </w:pPr>
            <w:r w:rsidRPr="002439C6">
              <w:rPr>
                <w:rFonts w:ascii="Arial" w:eastAsia="Times New Roman" w:hAnsi="Arial" w:cs="Arial"/>
                <w:sz w:val="16"/>
                <w:szCs w:val="16"/>
                <w:lang w:eastAsia="es-PY"/>
              </w:rPr>
              <w:t>Láminas para sellar placas de PCR, fabricadas en material plástico transparente de alta calidad, libres de DNasa, RNasa y endotoxinas, diseñadas para ofrecer un sellado hermético que previene la evaporación, condensación y contaminación cruzada durante las reacciones. Compatibles con placas de 96 pocillos, tanto para PCR convencional como en tiempo real, permiten una transmisión óptima de la señal fluorescente en equipos de detección. Incorporan adhesivo o sistema térmico resistente a temperaturas extremas de los ciclos de termociclado, manteniendo la integridad de la reacción. Fáciles de aplicar y retirar sin dejar residuos, garantizan un manejo seguro y eficiente en análisis de amplificación y cuantificación de ADN/ARN. Presentación en cajas o bolsas de 100 uniades o similr.</w:t>
            </w:r>
          </w:p>
        </w:tc>
        <w:tc>
          <w:tcPr>
            <w:tcW w:w="541" w:type="dxa"/>
            <w:shd w:val="clear" w:color="auto" w:fill="auto"/>
            <w:hideMark/>
          </w:tcPr>
          <w:p w14:paraId="4216EF1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3</w:t>
            </w:r>
          </w:p>
        </w:tc>
        <w:tc>
          <w:tcPr>
            <w:tcW w:w="478" w:type="dxa"/>
            <w:shd w:val="clear" w:color="auto" w:fill="auto"/>
            <w:noWrap/>
            <w:hideMark/>
          </w:tcPr>
          <w:p w14:paraId="04DF4A5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0534485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Caja</w:t>
            </w:r>
          </w:p>
        </w:tc>
        <w:tc>
          <w:tcPr>
            <w:tcW w:w="911" w:type="dxa"/>
            <w:shd w:val="clear" w:color="auto" w:fill="auto"/>
            <w:noWrap/>
            <w:hideMark/>
          </w:tcPr>
          <w:p w14:paraId="41C83627"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1.250.000 </w:t>
            </w:r>
          </w:p>
        </w:tc>
        <w:tc>
          <w:tcPr>
            <w:tcW w:w="911" w:type="dxa"/>
            <w:shd w:val="clear" w:color="auto" w:fill="auto"/>
            <w:noWrap/>
            <w:hideMark/>
          </w:tcPr>
          <w:p w14:paraId="38D25C5F"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3.750.000 </w:t>
            </w:r>
          </w:p>
        </w:tc>
      </w:tr>
      <w:tr w:rsidR="00581335" w:rsidRPr="002439C6" w14:paraId="163FB998" w14:textId="77777777" w:rsidTr="00581335">
        <w:trPr>
          <w:trHeight w:val="2652"/>
        </w:trPr>
        <w:tc>
          <w:tcPr>
            <w:tcW w:w="348" w:type="dxa"/>
            <w:shd w:val="clear" w:color="auto" w:fill="auto"/>
            <w:noWrap/>
            <w:hideMark/>
          </w:tcPr>
          <w:p w14:paraId="06E7186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68</w:t>
            </w:r>
          </w:p>
        </w:tc>
        <w:tc>
          <w:tcPr>
            <w:tcW w:w="1632" w:type="dxa"/>
            <w:shd w:val="clear" w:color="auto" w:fill="auto"/>
            <w:noWrap/>
            <w:hideMark/>
          </w:tcPr>
          <w:p w14:paraId="6AA00D3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Pipetas de pasteur</w:t>
            </w:r>
          </w:p>
        </w:tc>
        <w:tc>
          <w:tcPr>
            <w:tcW w:w="3283" w:type="dxa"/>
            <w:shd w:val="clear" w:color="auto" w:fill="auto"/>
            <w:hideMark/>
          </w:tcPr>
          <w:p w14:paraId="1928FDF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Pipetas de Pasteur de plástico, fabricadas en polietileno de baja densidad, desechables y diseñadas para la transferencia y dispensación controlada de líquidos en procedimientos de laboratorio. Presentan punta fina para un vertido preciso y bulbo integrado que permite un manejo fácil sin necesidad de accesorios adicionales. Capacidad 3 y/o 5 mL), son transparentes para facilitar la visualización del volumen y resistentes a la rotura. Aptas para uso en aplicaciones de microbiología, química, biología molecular y diagnóstico. En presentación en bolsas  de 500 unidades o similar</w:t>
            </w:r>
          </w:p>
        </w:tc>
        <w:tc>
          <w:tcPr>
            <w:tcW w:w="541" w:type="dxa"/>
            <w:shd w:val="clear" w:color="auto" w:fill="auto"/>
            <w:hideMark/>
          </w:tcPr>
          <w:p w14:paraId="54A3723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5</w:t>
            </w:r>
          </w:p>
        </w:tc>
        <w:tc>
          <w:tcPr>
            <w:tcW w:w="478" w:type="dxa"/>
            <w:shd w:val="clear" w:color="auto" w:fill="auto"/>
            <w:noWrap/>
            <w:hideMark/>
          </w:tcPr>
          <w:p w14:paraId="1D60F25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2B3D7E9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712F682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20.500 </w:t>
            </w:r>
          </w:p>
        </w:tc>
        <w:tc>
          <w:tcPr>
            <w:tcW w:w="911" w:type="dxa"/>
            <w:shd w:val="clear" w:color="auto" w:fill="auto"/>
            <w:noWrap/>
            <w:hideMark/>
          </w:tcPr>
          <w:p w14:paraId="42BAE067"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102.500 </w:t>
            </w:r>
          </w:p>
        </w:tc>
      </w:tr>
      <w:tr w:rsidR="00581335" w:rsidRPr="002439C6" w14:paraId="4A35499E" w14:textId="77777777" w:rsidTr="00581335">
        <w:trPr>
          <w:trHeight w:val="2244"/>
        </w:trPr>
        <w:tc>
          <w:tcPr>
            <w:tcW w:w="348" w:type="dxa"/>
            <w:shd w:val="clear" w:color="auto" w:fill="auto"/>
            <w:noWrap/>
            <w:hideMark/>
          </w:tcPr>
          <w:p w14:paraId="25BFBE7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69</w:t>
            </w:r>
          </w:p>
        </w:tc>
        <w:tc>
          <w:tcPr>
            <w:tcW w:w="1632" w:type="dxa"/>
            <w:shd w:val="clear" w:color="auto" w:fill="auto"/>
            <w:hideMark/>
          </w:tcPr>
          <w:p w14:paraId="47FA57D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Gradilla de metal para placas de Petri de 9 cm</w:t>
            </w:r>
          </w:p>
        </w:tc>
        <w:tc>
          <w:tcPr>
            <w:tcW w:w="3283" w:type="dxa"/>
            <w:shd w:val="clear" w:color="auto" w:fill="auto"/>
            <w:hideMark/>
          </w:tcPr>
          <w:p w14:paraId="6A09661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Gradilla metálica fabricada en acero inoxidable o acero con recubrimiento anticorrosivo, diseñada para el almacenamiento, transporte y organización de placas de Petri de 90 mm de diámetro. Su estructura robusta y resistente permite alojar múltiples placas en posición horizontal, asegurando estabilidad y adecuada ventilación entre ellas. Es apta para uso intensivo en laboratorios de microbiología, micología y cultivo celular, y soporta procesos de limpieza y esterilización, incluyendo autoclave, sin deformarse ni corroerse.</w:t>
            </w:r>
          </w:p>
        </w:tc>
        <w:tc>
          <w:tcPr>
            <w:tcW w:w="541" w:type="dxa"/>
            <w:shd w:val="clear" w:color="auto" w:fill="auto"/>
            <w:hideMark/>
          </w:tcPr>
          <w:p w14:paraId="059E720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w:t>
            </w:r>
          </w:p>
        </w:tc>
        <w:tc>
          <w:tcPr>
            <w:tcW w:w="478" w:type="dxa"/>
            <w:shd w:val="clear" w:color="auto" w:fill="auto"/>
            <w:noWrap/>
            <w:hideMark/>
          </w:tcPr>
          <w:p w14:paraId="2A8918B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6885D15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000000" w:fill="FFFFFF"/>
            <w:noWrap/>
            <w:hideMark/>
          </w:tcPr>
          <w:p w14:paraId="70BDAF0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405.000 </w:t>
            </w:r>
          </w:p>
        </w:tc>
        <w:tc>
          <w:tcPr>
            <w:tcW w:w="911" w:type="dxa"/>
            <w:shd w:val="clear" w:color="auto" w:fill="auto"/>
            <w:noWrap/>
            <w:hideMark/>
          </w:tcPr>
          <w:p w14:paraId="37F196DC"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405.000 </w:t>
            </w:r>
          </w:p>
        </w:tc>
      </w:tr>
      <w:tr w:rsidR="00581335" w:rsidRPr="002439C6" w14:paraId="0336930C" w14:textId="77777777" w:rsidTr="00581335">
        <w:trPr>
          <w:trHeight w:val="2244"/>
        </w:trPr>
        <w:tc>
          <w:tcPr>
            <w:tcW w:w="348" w:type="dxa"/>
            <w:shd w:val="clear" w:color="auto" w:fill="auto"/>
            <w:noWrap/>
            <w:hideMark/>
          </w:tcPr>
          <w:p w14:paraId="7956081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70</w:t>
            </w:r>
          </w:p>
        </w:tc>
        <w:tc>
          <w:tcPr>
            <w:tcW w:w="1632" w:type="dxa"/>
            <w:shd w:val="clear" w:color="auto" w:fill="auto"/>
            <w:hideMark/>
          </w:tcPr>
          <w:p w14:paraId="748238F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Gradilla de plástico para placas de Petri de 9 cm</w:t>
            </w:r>
          </w:p>
        </w:tc>
        <w:tc>
          <w:tcPr>
            <w:tcW w:w="3283" w:type="dxa"/>
            <w:shd w:val="clear" w:color="auto" w:fill="auto"/>
            <w:hideMark/>
          </w:tcPr>
          <w:p w14:paraId="42CF71D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Gradilla de plástico fabricada en material polimérico resistente y de fácil limpieza, diseñada para el almacenamiento, transporte y organización de placas de Petri de 90 mm de diámetro. Presenta una estructura estable con compartimentos individuales que permiten mantener las placas en posición horizontal, minimizando el riesgo de deslizamiento, contaminación o daño durante su manipulación en el laboratorio. Es reutilizable, liviana y compatible con procedimientos rutinarios de microbiología, micología y cultivo celular.</w:t>
            </w:r>
          </w:p>
        </w:tc>
        <w:tc>
          <w:tcPr>
            <w:tcW w:w="541" w:type="dxa"/>
            <w:shd w:val="clear" w:color="auto" w:fill="auto"/>
            <w:hideMark/>
          </w:tcPr>
          <w:p w14:paraId="2B4FC59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w:t>
            </w:r>
          </w:p>
        </w:tc>
        <w:tc>
          <w:tcPr>
            <w:tcW w:w="478" w:type="dxa"/>
            <w:shd w:val="clear" w:color="auto" w:fill="auto"/>
            <w:noWrap/>
            <w:hideMark/>
          </w:tcPr>
          <w:p w14:paraId="2E5BDBF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5126FB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000000" w:fill="FFFFFF"/>
            <w:noWrap/>
            <w:hideMark/>
          </w:tcPr>
          <w:p w14:paraId="7F54A94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215.000 </w:t>
            </w:r>
          </w:p>
        </w:tc>
        <w:tc>
          <w:tcPr>
            <w:tcW w:w="911" w:type="dxa"/>
            <w:shd w:val="clear" w:color="auto" w:fill="auto"/>
            <w:noWrap/>
            <w:hideMark/>
          </w:tcPr>
          <w:p w14:paraId="6DEEF4E9"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215.000 </w:t>
            </w:r>
          </w:p>
        </w:tc>
      </w:tr>
      <w:tr w:rsidR="00581335" w:rsidRPr="002439C6" w14:paraId="45F9FC8C" w14:textId="77777777" w:rsidTr="00581335">
        <w:trPr>
          <w:trHeight w:val="1428"/>
        </w:trPr>
        <w:tc>
          <w:tcPr>
            <w:tcW w:w="348" w:type="dxa"/>
            <w:shd w:val="clear" w:color="auto" w:fill="auto"/>
            <w:noWrap/>
            <w:hideMark/>
          </w:tcPr>
          <w:p w14:paraId="5FB3E55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71</w:t>
            </w:r>
          </w:p>
        </w:tc>
        <w:tc>
          <w:tcPr>
            <w:tcW w:w="1632" w:type="dxa"/>
            <w:shd w:val="clear" w:color="auto" w:fill="auto"/>
            <w:noWrap/>
            <w:hideMark/>
          </w:tcPr>
          <w:p w14:paraId="1371F40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Tubos de vidrio con tapa</w:t>
            </w:r>
          </w:p>
        </w:tc>
        <w:tc>
          <w:tcPr>
            <w:tcW w:w="3283" w:type="dxa"/>
            <w:shd w:val="clear" w:color="auto" w:fill="auto"/>
            <w:hideMark/>
          </w:tcPr>
          <w:p w14:paraId="15AA9A1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Tubos de vidrio de 10 mL con tapa rosca, fabricados en vidrio borosilicato de alta resistencia, diseñados para el almacenamiento y manipulación segura de muestras líquidas o sólidas en laboratorio. La tapa rosca,  de plástico con sello interno, asegura un cierre hermético . Aptos para esterilización en autoclave (121 °C).</w:t>
            </w:r>
          </w:p>
        </w:tc>
        <w:tc>
          <w:tcPr>
            <w:tcW w:w="541" w:type="dxa"/>
            <w:shd w:val="clear" w:color="auto" w:fill="auto"/>
            <w:hideMark/>
          </w:tcPr>
          <w:p w14:paraId="4CE6220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200</w:t>
            </w:r>
          </w:p>
        </w:tc>
        <w:tc>
          <w:tcPr>
            <w:tcW w:w="478" w:type="dxa"/>
            <w:shd w:val="clear" w:color="auto" w:fill="auto"/>
            <w:noWrap/>
            <w:hideMark/>
          </w:tcPr>
          <w:p w14:paraId="33B4067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C68C53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7A63B65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13.000 </w:t>
            </w:r>
          </w:p>
        </w:tc>
        <w:tc>
          <w:tcPr>
            <w:tcW w:w="911" w:type="dxa"/>
            <w:shd w:val="clear" w:color="auto" w:fill="auto"/>
            <w:noWrap/>
            <w:hideMark/>
          </w:tcPr>
          <w:p w14:paraId="5E56E0C6"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2.600.000 </w:t>
            </w:r>
          </w:p>
        </w:tc>
      </w:tr>
      <w:tr w:rsidR="00581335" w:rsidRPr="002439C6" w14:paraId="5E0CAC9B" w14:textId="77777777" w:rsidTr="00581335">
        <w:trPr>
          <w:trHeight w:val="1428"/>
        </w:trPr>
        <w:tc>
          <w:tcPr>
            <w:tcW w:w="348" w:type="dxa"/>
            <w:shd w:val="clear" w:color="auto" w:fill="auto"/>
            <w:noWrap/>
            <w:hideMark/>
          </w:tcPr>
          <w:p w14:paraId="225A60E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72</w:t>
            </w:r>
          </w:p>
        </w:tc>
        <w:tc>
          <w:tcPr>
            <w:tcW w:w="1632" w:type="dxa"/>
            <w:shd w:val="clear" w:color="auto" w:fill="auto"/>
            <w:noWrap/>
            <w:hideMark/>
          </w:tcPr>
          <w:p w14:paraId="0045245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Tubos de vidrio con tapa</w:t>
            </w:r>
          </w:p>
        </w:tc>
        <w:tc>
          <w:tcPr>
            <w:tcW w:w="3283" w:type="dxa"/>
            <w:shd w:val="clear" w:color="auto" w:fill="auto"/>
            <w:hideMark/>
          </w:tcPr>
          <w:p w14:paraId="778EDE1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Tubos de vidrio de 10 mL con tapa rosca, fabricados en vidrio borosilicato de alta resistencia, diseñados para el almacenamiento y manipulación segura de muestras líquidas o sólidas en laboratorio. La tapa rosca,  de plástico con sello interno, asegura un cierre hermético . Aptos para esterilización en autoclave (121 °C).</w:t>
            </w:r>
          </w:p>
        </w:tc>
        <w:tc>
          <w:tcPr>
            <w:tcW w:w="541" w:type="dxa"/>
            <w:shd w:val="clear" w:color="auto" w:fill="auto"/>
            <w:hideMark/>
          </w:tcPr>
          <w:p w14:paraId="3EEAE7B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200</w:t>
            </w:r>
          </w:p>
        </w:tc>
        <w:tc>
          <w:tcPr>
            <w:tcW w:w="478" w:type="dxa"/>
            <w:shd w:val="clear" w:color="auto" w:fill="auto"/>
            <w:noWrap/>
            <w:hideMark/>
          </w:tcPr>
          <w:p w14:paraId="54C7DA6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2127E7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6A8AFF1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16.200 </w:t>
            </w:r>
          </w:p>
        </w:tc>
        <w:tc>
          <w:tcPr>
            <w:tcW w:w="911" w:type="dxa"/>
            <w:shd w:val="clear" w:color="auto" w:fill="auto"/>
            <w:noWrap/>
            <w:hideMark/>
          </w:tcPr>
          <w:p w14:paraId="7168D6FD"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3.240.000 </w:t>
            </w:r>
          </w:p>
        </w:tc>
      </w:tr>
      <w:tr w:rsidR="00581335" w:rsidRPr="002439C6" w14:paraId="61FD7528" w14:textId="77777777" w:rsidTr="00581335">
        <w:trPr>
          <w:trHeight w:val="1020"/>
        </w:trPr>
        <w:tc>
          <w:tcPr>
            <w:tcW w:w="348" w:type="dxa"/>
            <w:shd w:val="clear" w:color="auto" w:fill="auto"/>
            <w:noWrap/>
            <w:hideMark/>
          </w:tcPr>
          <w:p w14:paraId="2746AA8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73</w:t>
            </w:r>
          </w:p>
        </w:tc>
        <w:tc>
          <w:tcPr>
            <w:tcW w:w="1632" w:type="dxa"/>
            <w:shd w:val="clear" w:color="auto" w:fill="auto"/>
            <w:noWrap/>
            <w:hideMark/>
          </w:tcPr>
          <w:p w14:paraId="5D08A5F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Tubos de vidrio sin tapa</w:t>
            </w:r>
          </w:p>
        </w:tc>
        <w:tc>
          <w:tcPr>
            <w:tcW w:w="3283" w:type="dxa"/>
            <w:shd w:val="clear" w:color="auto" w:fill="auto"/>
            <w:hideMark/>
          </w:tcPr>
          <w:p w14:paraId="2FD3623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Tubos de vidrio de 10 mL, fabricados en vidrio borosilicato de alta resistencia, diseñados para el almacenamiento y manipulación segura de muestras líquidas o sólidas en laboratorio.. Aptos para esterilización en autoclave (121 °C).</w:t>
            </w:r>
          </w:p>
        </w:tc>
        <w:tc>
          <w:tcPr>
            <w:tcW w:w="541" w:type="dxa"/>
            <w:shd w:val="clear" w:color="auto" w:fill="auto"/>
            <w:hideMark/>
          </w:tcPr>
          <w:p w14:paraId="5B6C03B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500</w:t>
            </w:r>
          </w:p>
        </w:tc>
        <w:tc>
          <w:tcPr>
            <w:tcW w:w="478" w:type="dxa"/>
            <w:shd w:val="clear" w:color="auto" w:fill="auto"/>
            <w:noWrap/>
            <w:hideMark/>
          </w:tcPr>
          <w:p w14:paraId="59D7699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37FB4F4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3F1C325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1.750 </w:t>
            </w:r>
          </w:p>
        </w:tc>
        <w:tc>
          <w:tcPr>
            <w:tcW w:w="911" w:type="dxa"/>
            <w:shd w:val="clear" w:color="auto" w:fill="auto"/>
            <w:noWrap/>
            <w:hideMark/>
          </w:tcPr>
          <w:p w14:paraId="37C37F75"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875.000 </w:t>
            </w:r>
          </w:p>
        </w:tc>
      </w:tr>
      <w:tr w:rsidR="00581335" w:rsidRPr="002439C6" w14:paraId="216829F5" w14:textId="77777777" w:rsidTr="00581335">
        <w:trPr>
          <w:trHeight w:val="1020"/>
        </w:trPr>
        <w:tc>
          <w:tcPr>
            <w:tcW w:w="348" w:type="dxa"/>
            <w:shd w:val="clear" w:color="auto" w:fill="auto"/>
            <w:noWrap/>
            <w:hideMark/>
          </w:tcPr>
          <w:p w14:paraId="53846E9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74</w:t>
            </w:r>
          </w:p>
        </w:tc>
        <w:tc>
          <w:tcPr>
            <w:tcW w:w="1632" w:type="dxa"/>
            <w:shd w:val="clear" w:color="auto" w:fill="auto"/>
            <w:noWrap/>
            <w:hideMark/>
          </w:tcPr>
          <w:p w14:paraId="1A92DE9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Placas de Petri de vidrio</w:t>
            </w:r>
          </w:p>
        </w:tc>
        <w:tc>
          <w:tcPr>
            <w:tcW w:w="3283" w:type="dxa"/>
            <w:shd w:val="clear" w:color="auto" w:fill="auto"/>
            <w:hideMark/>
          </w:tcPr>
          <w:p w14:paraId="0F71EA8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Placa de Petri de vidrio de 90 mm de diámetro, fabricada en vidrio borosilicato de alta transparencia y resistencia, diseñada para el cultivo y observación de microorganismos, tejidos u otros materiales biológicos. </w:t>
            </w:r>
          </w:p>
        </w:tc>
        <w:tc>
          <w:tcPr>
            <w:tcW w:w="541" w:type="dxa"/>
            <w:shd w:val="clear" w:color="auto" w:fill="auto"/>
            <w:hideMark/>
          </w:tcPr>
          <w:p w14:paraId="203EDBD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750</w:t>
            </w:r>
          </w:p>
        </w:tc>
        <w:tc>
          <w:tcPr>
            <w:tcW w:w="478" w:type="dxa"/>
            <w:shd w:val="clear" w:color="auto" w:fill="auto"/>
            <w:noWrap/>
            <w:hideMark/>
          </w:tcPr>
          <w:p w14:paraId="268493A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7226C7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EA85E3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4.950 </w:t>
            </w:r>
          </w:p>
        </w:tc>
        <w:tc>
          <w:tcPr>
            <w:tcW w:w="911" w:type="dxa"/>
            <w:shd w:val="clear" w:color="auto" w:fill="auto"/>
            <w:noWrap/>
            <w:hideMark/>
          </w:tcPr>
          <w:p w14:paraId="6C33FC6F"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3.712.500 </w:t>
            </w:r>
          </w:p>
        </w:tc>
      </w:tr>
      <w:tr w:rsidR="00581335" w:rsidRPr="002439C6" w14:paraId="7809D38A" w14:textId="77777777" w:rsidTr="00581335">
        <w:trPr>
          <w:trHeight w:val="1020"/>
        </w:trPr>
        <w:tc>
          <w:tcPr>
            <w:tcW w:w="348" w:type="dxa"/>
            <w:shd w:val="clear" w:color="auto" w:fill="auto"/>
            <w:noWrap/>
            <w:hideMark/>
          </w:tcPr>
          <w:p w14:paraId="341E6AC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75</w:t>
            </w:r>
          </w:p>
        </w:tc>
        <w:tc>
          <w:tcPr>
            <w:tcW w:w="1632" w:type="dxa"/>
            <w:shd w:val="clear" w:color="auto" w:fill="auto"/>
            <w:noWrap/>
            <w:hideMark/>
          </w:tcPr>
          <w:p w14:paraId="0DF2444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Placas de Petri de vidrio</w:t>
            </w:r>
          </w:p>
        </w:tc>
        <w:tc>
          <w:tcPr>
            <w:tcW w:w="3283" w:type="dxa"/>
            <w:shd w:val="clear" w:color="auto" w:fill="auto"/>
            <w:hideMark/>
          </w:tcPr>
          <w:p w14:paraId="223253A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Placa de Petri de vidrio de 60 mm de diámetro, fabricada en vidrio borosilicato de alta transparencia y resistencia, diseñada para el cultivo y observación de microorganismos, tejidos u otros materiales biológicos. </w:t>
            </w:r>
          </w:p>
        </w:tc>
        <w:tc>
          <w:tcPr>
            <w:tcW w:w="541" w:type="dxa"/>
            <w:shd w:val="clear" w:color="auto" w:fill="auto"/>
            <w:hideMark/>
          </w:tcPr>
          <w:p w14:paraId="7FBFEAC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750</w:t>
            </w:r>
          </w:p>
        </w:tc>
        <w:tc>
          <w:tcPr>
            <w:tcW w:w="478" w:type="dxa"/>
            <w:shd w:val="clear" w:color="auto" w:fill="auto"/>
            <w:noWrap/>
            <w:hideMark/>
          </w:tcPr>
          <w:p w14:paraId="009FE96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1CAFFE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33C7D35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3.500 </w:t>
            </w:r>
          </w:p>
        </w:tc>
        <w:tc>
          <w:tcPr>
            <w:tcW w:w="911" w:type="dxa"/>
            <w:shd w:val="clear" w:color="auto" w:fill="auto"/>
            <w:noWrap/>
            <w:hideMark/>
          </w:tcPr>
          <w:p w14:paraId="1403FCE7"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2.625.000 </w:t>
            </w:r>
          </w:p>
        </w:tc>
      </w:tr>
      <w:tr w:rsidR="00581335" w:rsidRPr="002439C6" w14:paraId="25F0CBC1" w14:textId="77777777" w:rsidTr="00581335">
        <w:trPr>
          <w:trHeight w:val="2040"/>
        </w:trPr>
        <w:tc>
          <w:tcPr>
            <w:tcW w:w="348" w:type="dxa"/>
            <w:shd w:val="clear" w:color="auto" w:fill="auto"/>
            <w:noWrap/>
            <w:hideMark/>
          </w:tcPr>
          <w:p w14:paraId="2C053E5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76</w:t>
            </w:r>
          </w:p>
        </w:tc>
        <w:tc>
          <w:tcPr>
            <w:tcW w:w="1632" w:type="dxa"/>
            <w:shd w:val="clear" w:color="auto" w:fill="auto"/>
            <w:noWrap/>
            <w:hideMark/>
          </w:tcPr>
          <w:p w14:paraId="60368DA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Vaso de precipitados de vidrio </w:t>
            </w:r>
          </w:p>
        </w:tc>
        <w:tc>
          <w:tcPr>
            <w:tcW w:w="3283" w:type="dxa"/>
            <w:shd w:val="clear" w:color="auto" w:fill="auto"/>
            <w:hideMark/>
          </w:tcPr>
          <w:p w14:paraId="27E593B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Vaso de precipitados, fabricado en vidrio borosilicato de alta resistencia térmica y química, diseñado para la preparación, mezcla, calentamiento y vertido de soluciones en laboratorio. Forma cilíndrica con borde reforzado, pico vertedor para un trasvase controlado y graduación impresa  (capacidad 50 ml). Es resistente a choques térmicos y a la acción de la mayoría de reactivos químicos, apto para uso en placas calefactoras y esterilización en autoclave (121 °C).</w:t>
            </w:r>
          </w:p>
        </w:tc>
        <w:tc>
          <w:tcPr>
            <w:tcW w:w="541" w:type="dxa"/>
            <w:shd w:val="clear" w:color="auto" w:fill="auto"/>
            <w:hideMark/>
          </w:tcPr>
          <w:p w14:paraId="2D60AEF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20</w:t>
            </w:r>
          </w:p>
        </w:tc>
        <w:tc>
          <w:tcPr>
            <w:tcW w:w="478" w:type="dxa"/>
            <w:shd w:val="clear" w:color="auto" w:fill="auto"/>
            <w:noWrap/>
            <w:hideMark/>
          </w:tcPr>
          <w:p w14:paraId="7125319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3AED45D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3B9D92B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12.000 </w:t>
            </w:r>
          </w:p>
        </w:tc>
        <w:tc>
          <w:tcPr>
            <w:tcW w:w="911" w:type="dxa"/>
            <w:shd w:val="clear" w:color="auto" w:fill="auto"/>
            <w:noWrap/>
            <w:hideMark/>
          </w:tcPr>
          <w:p w14:paraId="27132EA2"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240.000 </w:t>
            </w:r>
          </w:p>
        </w:tc>
      </w:tr>
      <w:tr w:rsidR="00581335" w:rsidRPr="002439C6" w14:paraId="5679ED74" w14:textId="77777777" w:rsidTr="00581335">
        <w:trPr>
          <w:trHeight w:val="2040"/>
        </w:trPr>
        <w:tc>
          <w:tcPr>
            <w:tcW w:w="348" w:type="dxa"/>
            <w:shd w:val="clear" w:color="auto" w:fill="auto"/>
            <w:noWrap/>
            <w:hideMark/>
          </w:tcPr>
          <w:p w14:paraId="21C568D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77</w:t>
            </w:r>
          </w:p>
        </w:tc>
        <w:tc>
          <w:tcPr>
            <w:tcW w:w="1632" w:type="dxa"/>
            <w:shd w:val="clear" w:color="auto" w:fill="auto"/>
            <w:noWrap/>
            <w:hideMark/>
          </w:tcPr>
          <w:p w14:paraId="2D5466D0"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Vaso de precipitados de vidrio </w:t>
            </w:r>
          </w:p>
        </w:tc>
        <w:tc>
          <w:tcPr>
            <w:tcW w:w="3283" w:type="dxa"/>
            <w:shd w:val="clear" w:color="auto" w:fill="auto"/>
            <w:hideMark/>
          </w:tcPr>
          <w:p w14:paraId="19F8F77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Vaso de precipitados, fabricado en vidrio borosilicato de alta resistencia térmica y química, diseñado para la preparación, mezcla, calentamiento y vertido de soluciones en laboratorio. Forma cilíndrica con borde reforzado, pico vertedor para un trasvase controlado y graduación impresa  (capacidad 100 ml). Es resistente a choques térmicos y a la acción de la mayoría de reactivos químicos, apto para uso en placas calefactoras y esterilización en autoclave (121 °C).</w:t>
            </w:r>
          </w:p>
        </w:tc>
        <w:tc>
          <w:tcPr>
            <w:tcW w:w="541" w:type="dxa"/>
            <w:shd w:val="clear" w:color="auto" w:fill="auto"/>
            <w:hideMark/>
          </w:tcPr>
          <w:p w14:paraId="7F39F85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20</w:t>
            </w:r>
          </w:p>
        </w:tc>
        <w:tc>
          <w:tcPr>
            <w:tcW w:w="478" w:type="dxa"/>
            <w:shd w:val="clear" w:color="auto" w:fill="auto"/>
            <w:noWrap/>
            <w:hideMark/>
          </w:tcPr>
          <w:p w14:paraId="6DF88A8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72E738F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2B81CA3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12.500 </w:t>
            </w:r>
          </w:p>
        </w:tc>
        <w:tc>
          <w:tcPr>
            <w:tcW w:w="911" w:type="dxa"/>
            <w:shd w:val="clear" w:color="auto" w:fill="auto"/>
            <w:noWrap/>
            <w:hideMark/>
          </w:tcPr>
          <w:p w14:paraId="2D37F334"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250.000 </w:t>
            </w:r>
          </w:p>
        </w:tc>
      </w:tr>
      <w:tr w:rsidR="00581335" w:rsidRPr="002439C6" w14:paraId="14A5D5EC" w14:textId="77777777" w:rsidTr="00581335">
        <w:trPr>
          <w:trHeight w:val="2040"/>
        </w:trPr>
        <w:tc>
          <w:tcPr>
            <w:tcW w:w="348" w:type="dxa"/>
            <w:shd w:val="clear" w:color="auto" w:fill="auto"/>
            <w:noWrap/>
            <w:hideMark/>
          </w:tcPr>
          <w:p w14:paraId="1E9753A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78</w:t>
            </w:r>
          </w:p>
        </w:tc>
        <w:tc>
          <w:tcPr>
            <w:tcW w:w="1632" w:type="dxa"/>
            <w:shd w:val="clear" w:color="auto" w:fill="auto"/>
            <w:noWrap/>
            <w:hideMark/>
          </w:tcPr>
          <w:p w14:paraId="2E70352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Vaso de precipitados de vidrio </w:t>
            </w:r>
          </w:p>
        </w:tc>
        <w:tc>
          <w:tcPr>
            <w:tcW w:w="3283" w:type="dxa"/>
            <w:shd w:val="clear" w:color="auto" w:fill="auto"/>
            <w:hideMark/>
          </w:tcPr>
          <w:p w14:paraId="21B522E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Vaso de precipitados, fabricado en vidrio borosilicato de alta resistencia térmica y química, diseñado para la preparación, mezcla, calentamiento y vertido de soluciones en laboratorio. Forma cilíndrica con borde reforzado, pico vertedor para un trasvase controlado y graduación impresa  (capacidad 250 ml). Es resistente a choques térmicos y a la acción de la mayoría de reactivos químicos, apto para uso en placas calefactoras y esterilización en autoclave (121 °C).</w:t>
            </w:r>
          </w:p>
        </w:tc>
        <w:tc>
          <w:tcPr>
            <w:tcW w:w="541" w:type="dxa"/>
            <w:shd w:val="clear" w:color="auto" w:fill="auto"/>
            <w:hideMark/>
          </w:tcPr>
          <w:p w14:paraId="3D0958D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20</w:t>
            </w:r>
          </w:p>
        </w:tc>
        <w:tc>
          <w:tcPr>
            <w:tcW w:w="478" w:type="dxa"/>
            <w:shd w:val="clear" w:color="auto" w:fill="auto"/>
            <w:noWrap/>
            <w:hideMark/>
          </w:tcPr>
          <w:p w14:paraId="2AA287F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38474110"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2097C1F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20.000 </w:t>
            </w:r>
          </w:p>
        </w:tc>
        <w:tc>
          <w:tcPr>
            <w:tcW w:w="911" w:type="dxa"/>
            <w:shd w:val="clear" w:color="auto" w:fill="auto"/>
            <w:noWrap/>
            <w:hideMark/>
          </w:tcPr>
          <w:p w14:paraId="78F97260"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400.000 </w:t>
            </w:r>
          </w:p>
        </w:tc>
      </w:tr>
      <w:tr w:rsidR="00581335" w:rsidRPr="002439C6" w14:paraId="67607D56" w14:textId="77777777" w:rsidTr="00581335">
        <w:trPr>
          <w:trHeight w:val="2040"/>
        </w:trPr>
        <w:tc>
          <w:tcPr>
            <w:tcW w:w="348" w:type="dxa"/>
            <w:shd w:val="clear" w:color="auto" w:fill="auto"/>
            <w:noWrap/>
            <w:hideMark/>
          </w:tcPr>
          <w:p w14:paraId="390C7AC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79</w:t>
            </w:r>
          </w:p>
        </w:tc>
        <w:tc>
          <w:tcPr>
            <w:tcW w:w="1632" w:type="dxa"/>
            <w:shd w:val="clear" w:color="auto" w:fill="auto"/>
            <w:noWrap/>
            <w:hideMark/>
          </w:tcPr>
          <w:p w14:paraId="2ECE048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Vaso de precipitados de vidrio </w:t>
            </w:r>
          </w:p>
        </w:tc>
        <w:tc>
          <w:tcPr>
            <w:tcW w:w="3283" w:type="dxa"/>
            <w:shd w:val="clear" w:color="auto" w:fill="auto"/>
            <w:hideMark/>
          </w:tcPr>
          <w:p w14:paraId="30913EC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Vaso de precipitados, fabricado en vidrio borosilicato de alta resistencia térmica y química, diseñado para la preparación, mezcla, calentamiento y vertido de soluciones en laboratorio. Forma cilíndrica con borde reforzado, pico vertedor para un trasvase controlado y graduación impresa  (capacidad 500 ml). Es resistente a choques térmicos y a la acción de la mayoría de reactivos químicos, apto para uso en placas calefactoras y esterilización en autoclave (121 °C).</w:t>
            </w:r>
          </w:p>
        </w:tc>
        <w:tc>
          <w:tcPr>
            <w:tcW w:w="541" w:type="dxa"/>
            <w:shd w:val="clear" w:color="auto" w:fill="auto"/>
            <w:hideMark/>
          </w:tcPr>
          <w:p w14:paraId="4F235DC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20</w:t>
            </w:r>
          </w:p>
        </w:tc>
        <w:tc>
          <w:tcPr>
            <w:tcW w:w="478" w:type="dxa"/>
            <w:shd w:val="clear" w:color="auto" w:fill="auto"/>
            <w:noWrap/>
            <w:hideMark/>
          </w:tcPr>
          <w:p w14:paraId="1AD12ED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65FF245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821A12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28.000 </w:t>
            </w:r>
          </w:p>
        </w:tc>
        <w:tc>
          <w:tcPr>
            <w:tcW w:w="911" w:type="dxa"/>
            <w:shd w:val="clear" w:color="auto" w:fill="auto"/>
            <w:noWrap/>
            <w:hideMark/>
          </w:tcPr>
          <w:p w14:paraId="0D2F3713"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560.000 </w:t>
            </w:r>
          </w:p>
        </w:tc>
      </w:tr>
      <w:tr w:rsidR="00581335" w:rsidRPr="002439C6" w14:paraId="69FB0265" w14:textId="77777777" w:rsidTr="00581335">
        <w:trPr>
          <w:trHeight w:val="2040"/>
        </w:trPr>
        <w:tc>
          <w:tcPr>
            <w:tcW w:w="348" w:type="dxa"/>
            <w:shd w:val="clear" w:color="auto" w:fill="auto"/>
            <w:noWrap/>
            <w:hideMark/>
          </w:tcPr>
          <w:p w14:paraId="7BB5373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80</w:t>
            </w:r>
          </w:p>
        </w:tc>
        <w:tc>
          <w:tcPr>
            <w:tcW w:w="1632" w:type="dxa"/>
            <w:shd w:val="clear" w:color="auto" w:fill="auto"/>
            <w:noWrap/>
            <w:hideMark/>
          </w:tcPr>
          <w:p w14:paraId="721507A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Vaso de precipitados de vidrio </w:t>
            </w:r>
          </w:p>
        </w:tc>
        <w:tc>
          <w:tcPr>
            <w:tcW w:w="3283" w:type="dxa"/>
            <w:shd w:val="clear" w:color="auto" w:fill="auto"/>
            <w:hideMark/>
          </w:tcPr>
          <w:p w14:paraId="2BD4AD6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Vaso de precipitados, fabricado en vidrio borosilicato de alta resistencia térmica y química, diseñado para la preparación, mezcla, calentamiento y vertido de soluciones en laboratorio. Forma cilíndrica con borde reforzado, pico vertedor para un trasvase controlado y graduación impresa  (capacidad 1000 ml). Es resistente a choques térmicos y a la acción de la mayoría de reactivos químicos, apto para uso en placas calefactoras y esterilización en autoclave (121 °C).</w:t>
            </w:r>
          </w:p>
        </w:tc>
        <w:tc>
          <w:tcPr>
            <w:tcW w:w="541" w:type="dxa"/>
            <w:shd w:val="clear" w:color="auto" w:fill="auto"/>
            <w:hideMark/>
          </w:tcPr>
          <w:p w14:paraId="190D006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12</w:t>
            </w:r>
          </w:p>
        </w:tc>
        <w:tc>
          <w:tcPr>
            <w:tcW w:w="478" w:type="dxa"/>
            <w:shd w:val="clear" w:color="auto" w:fill="auto"/>
            <w:noWrap/>
            <w:hideMark/>
          </w:tcPr>
          <w:p w14:paraId="22D4CA1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585A361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17DADB3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57.000 </w:t>
            </w:r>
          </w:p>
        </w:tc>
        <w:tc>
          <w:tcPr>
            <w:tcW w:w="911" w:type="dxa"/>
            <w:shd w:val="clear" w:color="auto" w:fill="auto"/>
            <w:noWrap/>
            <w:hideMark/>
          </w:tcPr>
          <w:p w14:paraId="421991CB"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684.000 </w:t>
            </w:r>
          </w:p>
        </w:tc>
      </w:tr>
      <w:tr w:rsidR="00581335" w:rsidRPr="002439C6" w14:paraId="3ECE401A" w14:textId="77777777" w:rsidTr="00581335">
        <w:trPr>
          <w:trHeight w:val="2040"/>
        </w:trPr>
        <w:tc>
          <w:tcPr>
            <w:tcW w:w="348" w:type="dxa"/>
            <w:shd w:val="clear" w:color="auto" w:fill="auto"/>
            <w:noWrap/>
            <w:hideMark/>
          </w:tcPr>
          <w:p w14:paraId="5D97BAE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81</w:t>
            </w:r>
          </w:p>
        </w:tc>
        <w:tc>
          <w:tcPr>
            <w:tcW w:w="1632" w:type="dxa"/>
            <w:shd w:val="clear" w:color="auto" w:fill="auto"/>
            <w:noWrap/>
            <w:hideMark/>
          </w:tcPr>
          <w:p w14:paraId="20E9099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Vaso de precipitados de vidrio </w:t>
            </w:r>
          </w:p>
        </w:tc>
        <w:tc>
          <w:tcPr>
            <w:tcW w:w="3283" w:type="dxa"/>
            <w:shd w:val="clear" w:color="auto" w:fill="auto"/>
            <w:hideMark/>
          </w:tcPr>
          <w:p w14:paraId="2721435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Vaso de precipitados, fabricado en vidrio borosilicato de alta resistencia térmica y química, diseñado para la preparación, mezcla, calentamiento y vertido de soluciones en laboratorio. Forma cilíndrica con borde reforzado, pico vertedor para un trasvase controlado y graduación impresa  (capacidad 2000 ml). Es resistente a choques térmicos y a la acción de la mayoría de reactivos químicos, apto para uso en placas calefactoras y esterilización en autoclave (121 °C).</w:t>
            </w:r>
          </w:p>
        </w:tc>
        <w:tc>
          <w:tcPr>
            <w:tcW w:w="541" w:type="dxa"/>
            <w:shd w:val="clear" w:color="auto" w:fill="auto"/>
            <w:hideMark/>
          </w:tcPr>
          <w:p w14:paraId="4220380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6911D72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6C76F97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2B4DE47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144.000 </w:t>
            </w:r>
          </w:p>
        </w:tc>
        <w:tc>
          <w:tcPr>
            <w:tcW w:w="911" w:type="dxa"/>
            <w:shd w:val="clear" w:color="auto" w:fill="auto"/>
            <w:noWrap/>
            <w:hideMark/>
          </w:tcPr>
          <w:p w14:paraId="66434C2D"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288.000 </w:t>
            </w:r>
          </w:p>
        </w:tc>
      </w:tr>
      <w:tr w:rsidR="00581335" w:rsidRPr="002439C6" w14:paraId="2C9FFE71" w14:textId="77777777" w:rsidTr="00581335">
        <w:trPr>
          <w:trHeight w:val="2448"/>
        </w:trPr>
        <w:tc>
          <w:tcPr>
            <w:tcW w:w="348" w:type="dxa"/>
            <w:shd w:val="clear" w:color="auto" w:fill="auto"/>
            <w:noWrap/>
            <w:hideMark/>
          </w:tcPr>
          <w:p w14:paraId="097DF28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82</w:t>
            </w:r>
          </w:p>
        </w:tc>
        <w:tc>
          <w:tcPr>
            <w:tcW w:w="1632" w:type="dxa"/>
            <w:shd w:val="clear" w:color="auto" w:fill="auto"/>
            <w:noWrap/>
            <w:hideMark/>
          </w:tcPr>
          <w:p w14:paraId="3FCEBB2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Matraz erlenmeyer</w:t>
            </w:r>
          </w:p>
        </w:tc>
        <w:tc>
          <w:tcPr>
            <w:tcW w:w="3283" w:type="dxa"/>
            <w:shd w:val="clear" w:color="auto" w:fill="auto"/>
            <w:hideMark/>
          </w:tcPr>
          <w:p w14:paraId="78EF90C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Matraz Erlenmeyer, fabricado en vidrio borosilicato de alta resistencia térmica y química, diseñado para la preparación, mezcla, calentamiento y almacenamiento temporal de soluciones en laboratorio. Presenta forma cónica con base plana que proporciona estabilidad, cuello estrecho que minimiza el riesgo de derrames y permite el uso de tapones o cubiertas, y graduación impresa para estimar volúmenes (capacidad 50ml). Es apto para calentamiento directo en placas calefactoras, esterilización en autoclave (121 °C) y resistente a la mayoría de reactivos químicos. </w:t>
            </w:r>
          </w:p>
        </w:tc>
        <w:tc>
          <w:tcPr>
            <w:tcW w:w="541" w:type="dxa"/>
            <w:shd w:val="clear" w:color="auto" w:fill="auto"/>
            <w:hideMark/>
          </w:tcPr>
          <w:p w14:paraId="1991FD8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25</w:t>
            </w:r>
          </w:p>
        </w:tc>
        <w:tc>
          <w:tcPr>
            <w:tcW w:w="478" w:type="dxa"/>
            <w:shd w:val="clear" w:color="auto" w:fill="auto"/>
            <w:noWrap/>
            <w:hideMark/>
          </w:tcPr>
          <w:p w14:paraId="10B913B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2736393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663E7FE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12.000 </w:t>
            </w:r>
          </w:p>
        </w:tc>
        <w:tc>
          <w:tcPr>
            <w:tcW w:w="911" w:type="dxa"/>
            <w:shd w:val="clear" w:color="auto" w:fill="auto"/>
            <w:noWrap/>
            <w:hideMark/>
          </w:tcPr>
          <w:p w14:paraId="06BD70E0"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300.000 </w:t>
            </w:r>
          </w:p>
        </w:tc>
      </w:tr>
      <w:tr w:rsidR="00581335" w:rsidRPr="002439C6" w14:paraId="125E8FFA" w14:textId="77777777" w:rsidTr="00581335">
        <w:trPr>
          <w:trHeight w:val="2448"/>
        </w:trPr>
        <w:tc>
          <w:tcPr>
            <w:tcW w:w="348" w:type="dxa"/>
            <w:shd w:val="clear" w:color="auto" w:fill="auto"/>
            <w:noWrap/>
            <w:hideMark/>
          </w:tcPr>
          <w:p w14:paraId="10F1105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83</w:t>
            </w:r>
          </w:p>
        </w:tc>
        <w:tc>
          <w:tcPr>
            <w:tcW w:w="1632" w:type="dxa"/>
            <w:shd w:val="clear" w:color="auto" w:fill="auto"/>
            <w:noWrap/>
            <w:hideMark/>
          </w:tcPr>
          <w:p w14:paraId="0B0BB00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Matraz erlenmeyer</w:t>
            </w:r>
          </w:p>
        </w:tc>
        <w:tc>
          <w:tcPr>
            <w:tcW w:w="3283" w:type="dxa"/>
            <w:shd w:val="clear" w:color="auto" w:fill="auto"/>
            <w:hideMark/>
          </w:tcPr>
          <w:p w14:paraId="5A6D6DD0"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Matraz Erlenmeyer, fabricado en vidrio borosilicato de alta resistencia térmica y química, diseñado para la preparación, mezcla, calentamiento y almacenamiento temporal de soluciones en laboratorio. Presenta forma cónica con base plana que proporciona estabilidad, cuello estrecho que minimiza el riesgo de derrames y permite el uso de tapones o cubiertas, y graduación impresa para estimar volúmenes (capacidad 100ml). Es apto para calentamiento directo en placas calefactoras, esterilización en autoclave (121 °C) y resistente a la mayoría de reactivos químicos. </w:t>
            </w:r>
          </w:p>
        </w:tc>
        <w:tc>
          <w:tcPr>
            <w:tcW w:w="541" w:type="dxa"/>
            <w:shd w:val="clear" w:color="auto" w:fill="auto"/>
            <w:hideMark/>
          </w:tcPr>
          <w:p w14:paraId="331A99E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25</w:t>
            </w:r>
          </w:p>
        </w:tc>
        <w:tc>
          <w:tcPr>
            <w:tcW w:w="478" w:type="dxa"/>
            <w:shd w:val="clear" w:color="auto" w:fill="auto"/>
            <w:noWrap/>
            <w:hideMark/>
          </w:tcPr>
          <w:p w14:paraId="1E8F2ED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7605254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3E74FF7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12.500 </w:t>
            </w:r>
          </w:p>
        </w:tc>
        <w:tc>
          <w:tcPr>
            <w:tcW w:w="911" w:type="dxa"/>
            <w:shd w:val="clear" w:color="auto" w:fill="auto"/>
            <w:noWrap/>
            <w:hideMark/>
          </w:tcPr>
          <w:p w14:paraId="297897A6"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312.500 </w:t>
            </w:r>
          </w:p>
        </w:tc>
      </w:tr>
      <w:tr w:rsidR="00581335" w:rsidRPr="002439C6" w14:paraId="25F402F1" w14:textId="77777777" w:rsidTr="00581335">
        <w:trPr>
          <w:trHeight w:val="2448"/>
        </w:trPr>
        <w:tc>
          <w:tcPr>
            <w:tcW w:w="348" w:type="dxa"/>
            <w:shd w:val="clear" w:color="auto" w:fill="auto"/>
            <w:noWrap/>
            <w:hideMark/>
          </w:tcPr>
          <w:p w14:paraId="50C6270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84</w:t>
            </w:r>
          </w:p>
        </w:tc>
        <w:tc>
          <w:tcPr>
            <w:tcW w:w="1632" w:type="dxa"/>
            <w:shd w:val="clear" w:color="auto" w:fill="auto"/>
            <w:noWrap/>
            <w:hideMark/>
          </w:tcPr>
          <w:p w14:paraId="5CD46D7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Matraz erlenmeyer</w:t>
            </w:r>
          </w:p>
        </w:tc>
        <w:tc>
          <w:tcPr>
            <w:tcW w:w="3283" w:type="dxa"/>
            <w:shd w:val="clear" w:color="auto" w:fill="auto"/>
            <w:hideMark/>
          </w:tcPr>
          <w:p w14:paraId="5C786F5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Matraz Erlenmeyer, fabricado en vidrio borosilicato de alta resistencia térmica y química, diseñado para la preparación, mezcla, calentamiento y almacenamiento temporal de soluciones en laboratorio. Presenta forma cónica con base plana que proporciona estabilidad, cuello estrecho que minimiza el riesgo de derrames y permite el uso de tapones o cubiertas, y graduación impresa para estimar volúmenes (capacidad 250ml). Es apto para calentamiento directo en placas calefactoras, esterilización en autoclave (121 °C) y resistente a la mayoría de reactivos químicos. </w:t>
            </w:r>
          </w:p>
        </w:tc>
        <w:tc>
          <w:tcPr>
            <w:tcW w:w="541" w:type="dxa"/>
            <w:shd w:val="clear" w:color="auto" w:fill="auto"/>
            <w:hideMark/>
          </w:tcPr>
          <w:p w14:paraId="1353E87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25</w:t>
            </w:r>
          </w:p>
        </w:tc>
        <w:tc>
          <w:tcPr>
            <w:tcW w:w="478" w:type="dxa"/>
            <w:shd w:val="clear" w:color="auto" w:fill="auto"/>
            <w:noWrap/>
            <w:hideMark/>
          </w:tcPr>
          <w:p w14:paraId="15092BB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BDEDE3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4FFF38B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19.500 </w:t>
            </w:r>
          </w:p>
        </w:tc>
        <w:tc>
          <w:tcPr>
            <w:tcW w:w="911" w:type="dxa"/>
            <w:shd w:val="clear" w:color="auto" w:fill="auto"/>
            <w:noWrap/>
            <w:hideMark/>
          </w:tcPr>
          <w:p w14:paraId="0D30D8A6"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487.500 </w:t>
            </w:r>
          </w:p>
        </w:tc>
      </w:tr>
      <w:tr w:rsidR="00581335" w:rsidRPr="002439C6" w14:paraId="759454F9" w14:textId="77777777" w:rsidTr="00581335">
        <w:trPr>
          <w:trHeight w:val="2448"/>
        </w:trPr>
        <w:tc>
          <w:tcPr>
            <w:tcW w:w="348" w:type="dxa"/>
            <w:shd w:val="clear" w:color="auto" w:fill="auto"/>
            <w:noWrap/>
            <w:hideMark/>
          </w:tcPr>
          <w:p w14:paraId="1D21989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85</w:t>
            </w:r>
          </w:p>
        </w:tc>
        <w:tc>
          <w:tcPr>
            <w:tcW w:w="1632" w:type="dxa"/>
            <w:shd w:val="clear" w:color="auto" w:fill="auto"/>
            <w:noWrap/>
            <w:hideMark/>
          </w:tcPr>
          <w:p w14:paraId="2CE7A5C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Matraz erlenmeyer</w:t>
            </w:r>
          </w:p>
        </w:tc>
        <w:tc>
          <w:tcPr>
            <w:tcW w:w="3283" w:type="dxa"/>
            <w:shd w:val="clear" w:color="auto" w:fill="auto"/>
            <w:hideMark/>
          </w:tcPr>
          <w:p w14:paraId="4DD0BE9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Matraz Erlenmeyer, fabricado en vidrio borosilicato de alta resistencia térmica y química, diseñado para la preparación, mezcla, calentamiento y almacenamiento temporal de soluciones en laboratorio. Presenta forma cónica con base plana que proporciona estabilidad, cuello estrecho que minimiza el riesgo de derrames y permite el uso de tapones o cubiertas, y graduación impresa para estimar volúmenes (capacidad 500ml). Es apto para calentamiento directo en placas calefactoras, esterilización en autoclave (121 °C) y resistente a la mayoría de reactivos químicos. </w:t>
            </w:r>
          </w:p>
        </w:tc>
        <w:tc>
          <w:tcPr>
            <w:tcW w:w="541" w:type="dxa"/>
            <w:shd w:val="clear" w:color="auto" w:fill="auto"/>
            <w:hideMark/>
          </w:tcPr>
          <w:p w14:paraId="5C2C1F70"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25</w:t>
            </w:r>
          </w:p>
        </w:tc>
        <w:tc>
          <w:tcPr>
            <w:tcW w:w="478" w:type="dxa"/>
            <w:shd w:val="clear" w:color="auto" w:fill="auto"/>
            <w:noWrap/>
            <w:hideMark/>
          </w:tcPr>
          <w:p w14:paraId="23BEE63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6D921C8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195E27E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28.000 </w:t>
            </w:r>
          </w:p>
        </w:tc>
        <w:tc>
          <w:tcPr>
            <w:tcW w:w="911" w:type="dxa"/>
            <w:shd w:val="clear" w:color="auto" w:fill="auto"/>
            <w:noWrap/>
            <w:hideMark/>
          </w:tcPr>
          <w:p w14:paraId="4C2D0136"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700.000 </w:t>
            </w:r>
          </w:p>
        </w:tc>
      </w:tr>
      <w:tr w:rsidR="00581335" w:rsidRPr="002439C6" w14:paraId="6B3FF1FD" w14:textId="77777777" w:rsidTr="00581335">
        <w:trPr>
          <w:trHeight w:val="2448"/>
        </w:trPr>
        <w:tc>
          <w:tcPr>
            <w:tcW w:w="348" w:type="dxa"/>
            <w:shd w:val="clear" w:color="auto" w:fill="auto"/>
            <w:noWrap/>
            <w:hideMark/>
          </w:tcPr>
          <w:p w14:paraId="568CC4E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86</w:t>
            </w:r>
          </w:p>
        </w:tc>
        <w:tc>
          <w:tcPr>
            <w:tcW w:w="1632" w:type="dxa"/>
            <w:shd w:val="clear" w:color="auto" w:fill="auto"/>
            <w:noWrap/>
            <w:hideMark/>
          </w:tcPr>
          <w:p w14:paraId="716B844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Matraz erlenmeyer</w:t>
            </w:r>
          </w:p>
        </w:tc>
        <w:tc>
          <w:tcPr>
            <w:tcW w:w="3283" w:type="dxa"/>
            <w:shd w:val="clear" w:color="auto" w:fill="auto"/>
            <w:hideMark/>
          </w:tcPr>
          <w:p w14:paraId="44BF4D6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Matraz Erlenmeyer, fabricado en vidrio borosilicato de alta resistencia térmica y química, diseñado para la preparación, mezcla, calentamiento y almacenamiento temporal de soluciones en laboratorio. Presenta forma cónica con base plana que proporciona estabilidad, cuello estrecho que minimiza el riesgo de derrames y permite el uso de tapones o cubiertas, y graduación impresa para estimar volúmenes (capacidad 1000ml). Es apto para calentamiento directo en placas calefactoras, esterilización en autoclave (121 °C) y resistente a la mayoría de reactivos químicos. </w:t>
            </w:r>
          </w:p>
        </w:tc>
        <w:tc>
          <w:tcPr>
            <w:tcW w:w="541" w:type="dxa"/>
            <w:shd w:val="clear" w:color="auto" w:fill="auto"/>
            <w:hideMark/>
          </w:tcPr>
          <w:p w14:paraId="7A090A3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15</w:t>
            </w:r>
          </w:p>
        </w:tc>
        <w:tc>
          <w:tcPr>
            <w:tcW w:w="478" w:type="dxa"/>
            <w:shd w:val="clear" w:color="auto" w:fill="auto"/>
            <w:noWrap/>
            <w:hideMark/>
          </w:tcPr>
          <w:p w14:paraId="47D9906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0084E6A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5907EF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57.000 </w:t>
            </w:r>
          </w:p>
        </w:tc>
        <w:tc>
          <w:tcPr>
            <w:tcW w:w="911" w:type="dxa"/>
            <w:shd w:val="clear" w:color="auto" w:fill="auto"/>
            <w:noWrap/>
            <w:hideMark/>
          </w:tcPr>
          <w:p w14:paraId="1363805B"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855.000 </w:t>
            </w:r>
          </w:p>
        </w:tc>
      </w:tr>
      <w:tr w:rsidR="00581335" w:rsidRPr="002439C6" w14:paraId="7386A69F" w14:textId="77777777" w:rsidTr="00581335">
        <w:trPr>
          <w:trHeight w:val="2448"/>
        </w:trPr>
        <w:tc>
          <w:tcPr>
            <w:tcW w:w="348" w:type="dxa"/>
            <w:shd w:val="clear" w:color="auto" w:fill="auto"/>
            <w:noWrap/>
            <w:hideMark/>
          </w:tcPr>
          <w:p w14:paraId="0F336A0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87</w:t>
            </w:r>
          </w:p>
        </w:tc>
        <w:tc>
          <w:tcPr>
            <w:tcW w:w="1632" w:type="dxa"/>
            <w:shd w:val="clear" w:color="auto" w:fill="auto"/>
            <w:noWrap/>
            <w:hideMark/>
          </w:tcPr>
          <w:p w14:paraId="427883C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Matraz erlenmeyer</w:t>
            </w:r>
          </w:p>
        </w:tc>
        <w:tc>
          <w:tcPr>
            <w:tcW w:w="3283" w:type="dxa"/>
            <w:shd w:val="clear" w:color="auto" w:fill="auto"/>
            <w:hideMark/>
          </w:tcPr>
          <w:p w14:paraId="2463A02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Matraz Erlenmeyer, fabricado en vidrio borosilicato de alta resistencia térmica y química, diseñado para la preparación, mezcla, calentamiento y almacenamiento temporal de soluciones en laboratorio. Presenta forma cónica con base plana que proporciona estabilidad, cuello estrecho que minimiza el riesgo de derrames y permite el uso de tapones o cubiertas, y graduación impresa para estimar volúmenes (capacidad 2000ml). Es apto para calentamiento directo en placas calefactoras, esterilización en autoclave (121 °C) y resistente a la mayoría de reactivos químicos. </w:t>
            </w:r>
          </w:p>
        </w:tc>
        <w:tc>
          <w:tcPr>
            <w:tcW w:w="541" w:type="dxa"/>
            <w:shd w:val="clear" w:color="auto" w:fill="auto"/>
            <w:hideMark/>
          </w:tcPr>
          <w:p w14:paraId="1D043A4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463DB46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83DB23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1EBFFE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145.000 </w:t>
            </w:r>
          </w:p>
        </w:tc>
        <w:tc>
          <w:tcPr>
            <w:tcW w:w="911" w:type="dxa"/>
            <w:shd w:val="clear" w:color="auto" w:fill="auto"/>
            <w:noWrap/>
            <w:hideMark/>
          </w:tcPr>
          <w:p w14:paraId="55C4A1F9"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290.000 </w:t>
            </w:r>
          </w:p>
        </w:tc>
      </w:tr>
      <w:tr w:rsidR="00581335" w:rsidRPr="002439C6" w14:paraId="14248871" w14:textId="77777777" w:rsidTr="00581335">
        <w:trPr>
          <w:trHeight w:val="816"/>
        </w:trPr>
        <w:tc>
          <w:tcPr>
            <w:tcW w:w="348" w:type="dxa"/>
            <w:shd w:val="clear" w:color="auto" w:fill="auto"/>
            <w:noWrap/>
            <w:hideMark/>
          </w:tcPr>
          <w:p w14:paraId="0FB3187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88</w:t>
            </w:r>
          </w:p>
        </w:tc>
        <w:tc>
          <w:tcPr>
            <w:tcW w:w="1632" w:type="dxa"/>
            <w:shd w:val="clear" w:color="auto" w:fill="auto"/>
            <w:noWrap/>
            <w:hideMark/>
          </w:tcPr>
          <w:p w14:paraId="64BDC2D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Ansa de bacteriologia</w:t>
            </w:r>
          </w:p>
        </w:tc>
        <w:tc>
          <w:tcPr>
            <w:tcW w:w="3283" w:type="dxa"/>
            <w:shd w:val="clear" w:color="auto" w:fill="auto"/>
            <w:hideMark/>
          </w:tcPr>
          <w:p w14:paraId="5EE80AB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Ansa de bacteriología,extremo con filamento metálico de nicromo , moldeado en forma de aro (1 a 10 μL) que permite recoger y depositar pequeñas cantidades de inóculo con precisión. </w:t>
            </w:r>
          </w:p>
        </w:tc>
        <w:tc>
          <w:tcPr>
            <w:tcW w:w="541" w:type="dxa"/>
            <w:shd w:val="clear" w:color="auto" w:fill="auto"/>
            <w:hideMark/>
          </w:tcPr>
          <w:p w14:paraId="06EF13A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1CD2927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554A998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Caja</w:t>
            </w:r>
          </w:p>
        </w:tc>
        <w:tc>
          <w:tcPr>
            <w:tcW w:w="911" w:type="dxa"/>
            <w:shd w:val="clear" w:color="auto" w:fill="auto"/>
            <w:noWrap/>
            <w:hideMark/>
          </w:tcPr>
          <w:p w14:paraId="29F1B5C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477.500 </w:t>
            </w:r>
          </w:p>
        </w:tc>
        <w:tc>
          <w:tcPr>
            <w:tcW w:w="911" w:type="dxa"/>
            <w:shd w:val="clear" w:color="auto" w:fill="auto"/>
            <w:noWrap/>
            <w:hideMark/>
          </w:tcPr>
          <w:p w14:paraId="38D6666F"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955.000 </w:t>
            </w:r>
          </w:p>
        </w:tc>
      </w:tr>
      <w:tr w:rsidR="00581335" w:rsidRPr="002439C6" w14:paraId="69D9AC73" w14:textId="77777777" w:rsidTr="00581335">
        <w:trPr>
          <w:trHeight w:val="408"/>
        </w:trPr>
        <w:tc>
          <w:tcPr>
            <w:tcW w:w="348" w:type="dxa"/>
            <w:shd w:val="clear" w:color="auto" w:fill="auto"/>
            <w:noWrap/>
            <w:hideMark/>
          </w:tcPr>
          <w:p w14:paraId="589321E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89</w:t>
            </w:r>
          </w:p>
        </w:tc>
        <w:tc>
          <w:tcPr>
            <w:tcW w:w="1632" w:type="dxa"/>
            <w:shd w:val="clear" w:color="auto" w:fill="auto"/>
            <w:noWrap/>
            <w:hideMark/>
          </w:tcPr>
          <w:p w14:paraId="1F88865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Mango de ansa de bacteriologia</w:t>
            </w:r>
          </w:p>
        </w:tc>
        <w:tc>
          <w:tcPr>
            <w:tcW w:w="3283" w:type="dxa"/>
            <w:shd w:val="clear" w:color="auto" w:fill="auto"/>
            <w:hideMark/>
          </w:tcPr>
          <w:p w14:paraId="539789C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Mango de Ansa de bacteriología de plástico o metal  con extremo ajustable para filamento metálico</w:t>
            </w:r>
          </w:p>
        </w:tc>
        <w:tc>
          <w:tcPr>
            <w:tcW w:w="541" w:type="dxa"/>
            <w:shd w:val="clear" w:color="auto" w:fill="auto"/>
            <w:hideMark/>
          </w:tcPr>
          <w:p w14:paraId="778CA77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w:t>
            </w:r>
          </w:p>
        </w:tc>
        <w:tc>
          <w:tcPr>
            <w:tcW w:w="478" w:type="dxa"/>
            <w:shd w:val="clear" w:color="auto" w:fill="auto"/>
            <w:noWrap/>
            <w:hideMark/>
          </w:tcPr>
          <w:p w14:paraId="6A02B30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049B62E0"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582CCF7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7.550 </w:t>
            </w:r>
          </w:p>
        </w:tc>
        <w:tc>
          <w:tcPr>
            <w:tcW w:w="911" w:type="dxa"/>
            <w:shd w:val="clear" w:color="auto" w:fill="auto"/>
            <w:noWrap/>
            <w:hideMark/>
          </w:tcPr>
          <w:p w14:paraId="4A20DD61"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75.500 </w:t>
            </w:r>
          </w:p>
        </w:tc>
      </w:tr>
      <w:tr w:rsidR="00581335" w:rsidRPr="002439C6" w14:paraId="36BA38D2" w14:textId="77777777" w:rsidTr="00581335">
        <w:trPr>
          <w:trHeight w:val="1836"/>
        </w:trPr>
        <w:tc>
          <w:tcPr>
            <w:tcW w:w="348" w:type="dxa"/>
            <w:shd w:val="clear" w:color="auto" w:fill="auto"/>
            <w:noWrap/>
            <w:hideMark/>
          </w:tcPr>
          <w:p w14:paraId="5EB9AC4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90</w:t>
            </w:r>
          </w:p>
        </w:tc>
        <w:tc>
          <w:tcPr>
            <w:tcW w:w="1632" w:type="dxa"/>
            <w:shd w:val="clear" w:color="auto" w:fill="auto"/>
            <w:noWrap/>
            <w:hideMark/>
          </w:tcPr>
          <w:p w14:paraId="14137E0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Ansa de digralsky</w:t>
            </w:r>
          </w:p>
        </w:tc>
        <w:tc>
          <w:tcPr>
            <w:tcW w:w="3283" w:type="dxa"/>
            <w:shd w:val="clear" w:color="auto" w:fill="auto"/>
            <w:hideMark/>
          </w:tcPr>
          <w:p w14:paraId="4AD6C90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Ansa de Digralski, también conocida como espátula o varilla de Digralski, instrumento de laboratorio utilizado para la siembra y distribución homogénea de suspensiones microbianas sobre la superficie de medios de cultivo sólidos en placas de Petri. Acero inoxidable, presenta forma de varilla acodada o en “T” que permite extender el inóculo de manera uniforme, que  permita esterilizarse en autoclave o por calor directo.</w:t>
            </w:r>
          </w:p>
        </w:tc>
        <w:tc>
          <w:tcPr>
            <w:tcW w:w="541" w:type="dxa"/>
            <w:shd w:val="clear" w:color="auto" w:fill="auto"/>
            <w:hideMark/>
          </w:tcPr>
          <w:p w14:paraId="2CEA0BD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w:t>
            </w:r>
          </w:p>
        </w:tc>
        <w:tc>
          <w:tcPr>
            <w:tcW w:w="478" w:type="dxa"/>
            <w:shd w:val="clear" w:color="auto" w:fill="auto"/>
            <w:noWrap/>
            <w:hideMark/>
          </w:tcPr>
          <w:p w14:paraId="29D6420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BB0D6F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6A33D7A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19.100 </w:t>
            </w:r>
          </w:p>
        </w:tc>
        <w:tc>
          <w:tcPr>
            <w:tcW w:w="911" w:type="dxa"/>
            <w:shd w:val="clear" w:color="auto" w:fill="auto"/>
            <w:noWrap/>
            <w:hideMark/>
          </w:tcPr>
          <w:p w14:paraId="61E559FD"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191.000 </w:t>
            </w:r>
          </w:p>
        </w:tc>
      </w:tr>
      <w:tr w:rsidR="00581335" w:rsidRPr="002439C6" w14:paraId="396845E7" w14:textId="77777777" w:rsidTr="00581335">
        <w:trPr>
          <w:trHeight w:val="1428"/>
        </w:trPr>
        <w:tc>
          <w:tcPr>
            <w:tcW w:w="348" w:type="dxa"/>
            <w:shd w:val="clear" w:color="auto" w:fill="auto"/>
            <w:noWrap/>
            <w:hideMark/>
          </w:tcPr>
          <w:p w14:paraId="2122981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91</w:t>
            </w:r>
          </w:p>
        </w:tc>
        <w:tc>
          <w:tcPr>
            <w:tcW w:w="1632" w:type="dxa"/>
            <w:shd w:val="clear" w:color="auto" w:fill="auto"/>
            <w:noWrap/>
            <w:hideMark/>
          </w:tcPr>
          <w:p w14:paraId="4730C4D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Portaobjetos</w:t>
            </w:r>
          </w:p>
        </w:tc>
        <w:tc>
          <w:tcPr>
            <w:tcW w:w="3283" w:type="dxa"/>
            <w:shd w:val="clear" w:color="auto" w:fill="auto"/>
            <w:hideMark/>
          </w:tcPr>
          <w:p w14:paraId="34FBCE2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Portaobjetos para microscopía, lámina rectangular fabricada en vidrio óptico transparente de alta calidad, con bordes pulidos para evitar cortes y dimensiones estándar (aproximadamente 75 × 25 mm) que garantizan compatibilidad con la mayoría de microscopios. Superficie lisa y libre de impurezas con o sin esmerilado para etiquetado.</w:t>
            </w:r>
          </w:p>
        </w:tc>
        <w:tc>
          <w:tcPr>
            <w:tcW w:w="541" w:type="dxa"/>
            <w:shd w:val="clear" w:color="auto" w:fill="auto"/>
            <w:hideMark/>
          </w:tcPr>
          <w:p w14:paraId="3B1FD56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100</w:t>
            </w:r>
          </w:p>
        </w:tc>
        <w:tc>
          <w:tcPr>
            <w:tcW w:w="478" w:type="dxa"/>
            <w:shd w:val="clear" w:color="auto" w:fill="auto"/>
            <w:noWrap/>
            <w:hideMark/>
          </w:tcPr>
          <w:p w14:paraId="4F49BAB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5A8CB51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Caja</w:t>
            </w:r>
          </w:p>
        </w:tc>
        <w:tc>
          <w:tcPr>
            <w:tcW w:w="911" w:type="dxa"/>
            <w:shd w:val="clear" w:color="auto" w:fill="auto"/>
            <w:noWrap/>
            <w:hideMark/>
          </w:tcPr>
          <w:p w14:paraId="630C903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23.150 </w:t>
            </w:r>
          </w:p>
        </w:tc>
        <w:tc>
          <w:tcPr>
            <w:tcW w:w="911" w:type="dxa"/>
            <w:shd w:val="clear" w:color="auto" w:fill="auto"/>
            <w:noWrap/>
            <w:hideMark/>
          </w:tcPr>
          <w:p w14:paraId="740686A4"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2.315.000 </w:t>
            </w:r>
          </w:p>
        </w:tc>
      </w:tr>
      <w:tr w:rsidR="00581335" w:rsidRPr="002439C6" w14:paraId="29C96D63" w14:textId="77777777" w:rsidTr="00581335">
        <w:trPr>
          <w:trHeight w:val="1632"/>
        </w:trPr>
        <w:tc>
          <w:tcPr>
            <w:tcW w:w="348" w:type="dxa"/>
            <w:shd w:val="clear" w:color="auto" w:fill="auto"/>
            <w:noWrap/>
            <w:hideMark/>
          </w:tcPr>
          <w:p w14:paraId="704E805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92</w:t>
            </w:r>
          </w:p>
        </w:tc>
        <w:tc>
          <w:tcPr>
            <w:tcW w:w="1632" w:type="dxa"/>
            <w:shd w:val="clear" w:color="auto" w:fill="auto"/>
            <w:noWrap/>
            <w:hideMark/>
          </w:tcPr>
          <w:p w14:paraId="0E9F5AA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Cubreobjetos</w:t>
            </w:r>
          </w:p>
        </w:tc>
        <w:tc>
          <w:tcPr>
            <w:tcW w:w="3283" w:type="dxa"/>
            <w:shd w:val="clear" w:color="auto" w:fill="auto"/>
            <w:hideMark/>
          </w:tcPr>
          <w:p w14:paraId="1264D39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Cubreobjetos para microscopía, lámina delgada y transparente de vidrio óptico o plástico de alta calidad, diseñada para cubrir y proteger la muestra colocada sobre el portaobjetos, evitando su desplazamiento y preservando la integridad de la preparación. Presenta bordes lisos para un manejo seguro y está disponible en diferentes dimensiones y grosores, 22 × 22 mm  o 24 × 24 mm o similar. </w:t>
            </w:r>
          </w:p>
        </w:tc>
        <w:tc>
          <w:tcPr>
            <w:tcW w:w="541" w:type="dxa"/>
            <w:shd w:val="clear" w:color="auto" w:fill="auto"/>
            <w:hideMark/>
          </w:tcPr>
          <w:p w14:paraId="4116206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250</w:t>
            </w:r>
          </w:p>
        </w:tc>
        <w:tc>
          <w:tcPr>
            <w:tcW w:w="478" w:type="dxa"/>
            <w:shd w:val="clear" w:color="auto" w:fill="auto"/>
            <w:noWrap/>
            <w:hideMark/>
          </w:tcPr>
          <w:p w14:paraId="08E69D8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236637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Caja</w:t>
            </w:r>
          </w:p>
        </w:tc>
        <w:tc>
          <w:tcPr>
            <w:tcW w:w="911" w:type="dxa"/>
            <w:shd w:val="clear" w:color="auto" w:fill="auto"/>
            <w:noWrap/>
            <w:hideMark/>
          </w:tcPr>
          <w:p w14:paraId="4B93A0A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9.250 </w:t>
            </w:r>
          </w:p>
        </w:tc>
        <w:tc>
          <w:tcPr>
            <w:tcW w:w="911" w:type="dxa"/>
            <w:shd w:val="clear" w:color="auto" w:fill="auto"/>
            <w:noWrap/>
            <w:hideMark/>
          </w:tcPr>
          <w:p w14:paraId="798621BE"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2.312.500 </w:t>
            </w:r>
          </w:p>
        </w:tc>
      </w:tr>
      <w:tr w:rsidR="00581335" w:rsidRPr="002439C6" w14:paraId="6EBA24B1" w14:textId="77777777" w:rsidTr="00581335">
        <w:trPr>
          <w:trHeight w:val="1632"/>
        </w:trPr>
        <w:tc>
          <w:tcPr>
            <w:tcW w:w="348" w:type="dxa"/>
            <w:shd w:val="clear" w:color="auto" w:fill="auto"/>
            <w:noWrap/>
            <w:hideMark/>
          </w:tcPr>
          <w:p w14:paraId="2F76301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93</w:t>
            </w:r>
          </w:p>
        </w:tc>
        <w:tc>
          <w:tcPr>
            <w:tcW w:w="1632" w:type="dxa"/>
            <w:shd w:val="clear" w:color="auto" w:fill="auto"/>
            <w:noWrap/>
            <w:hideMark/>
          </w:tcPr>
          <w:p w14:paraId="641F432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w:t>
            </w:r>
          </w:p>
        </w:tc>
        <w:tc>
          <w:tcPr>
            <w:tcW w:w="3283" w:type="dxa"/>
            <w:shd w:val="clear" w:color="auto" w:fill="auto"/>
            <w:hideMark/>
          </w:tcPr>
          <w:p w14:paraId="1E614CB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cilindro medidor fabricado en vidrio borosilicato diseñado para la medición precisa de volúmenes de líquidos en laboratorio. Presenta graduaciones impresas o moldeadas de fácil lectura, base ancha para mayor estabilidad de vidrio o plástico con o sin pico vertedor. Capacidad 25 mL resistente a la mayoría de reactivos químicos y a variaciones de temperatura.</w:t>
            </w:r>
          </w:p>
        </w:tc>
        <w:tc>
          <w:tcPr>
            <w:tcW w:w="541" w:type="dxa"/>
            <w:shd w:val="clear" w:color="auto" w:fill="auto"/>
            <w:hideMark/>
          </w:tcPr>
          <w:p w14:paraId="15C834B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3</w:t>
            </w:r>
          </w:p>
        </w:tc>
        <w:tc>
          <w:tcPr>
            <w:tcW w:w="478" w:type="dxa"/>
            <w:shd w:val="clear" w:color="auto" w:fill="auto"/>
            <w:noWrap/>
            <w:hideMark/>
          </w:tcPr>
          <w:p w14:paraId="3C9B011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2186649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3BCDD16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47.800 </w:t>
            </w:r>
          </w:p>
        </w:tc>
        <w:tc>
          <w:tcPr>
            <w:tcW w:w="911" w:type="dxa"/>
            <w:shd w:val="clear" w:color="auto" w:fill="auto"/>
            <w:noWrap/>
            <w:hideMark/>
          </w:tcPr>
          <w:p w14:paraId="61E6CFAE"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143.400 </w:t>
            </w:r>
          </w:p>
        </w:tc>
      </w:tr>
      <w:tr w:rsidR="00581335" w:rsidRPr="002439C6" w14:paraId="3BA6F8A7" w14:textId="77777777" w:rsidTr="00581335">
        <w:trPr>
          <w:trHeight w:val="1632"/>
        </w:trPr>
        <w:tc>
          <w:tcPr>
            <w:tcW w:w="348" w:type="dxa"/>
            <w:shd w:val="clear" w:color="auto" w:fill="auto"/>
            <w:noWrap/>
            <w:hideMark/>
          </w:tcPr>
          <w:p w14:paraId="761E9C6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94</w:t>
            </w:r>
          </w:p>
        </w:tc>
        <w:tc>
          <w:tcPr>
            <w:tcW w:w="1632" w:type="dxa"/>
            <w:shd w:val="clear" w:color="auto" w:fill="auto"/>
            <w:noWrap/>
            <w:hideMark/>
          </w:tcPr>
          <w:p w14:paraId="0F61F54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w:t>
            </w:r>
          </w:p>
        </w:tc>
        <w:tc>
          <w:tcPr>
            <w:tcW w:w="3283" w:type="dxa"/>
            <w:shd w:val="clear" w:color="auto" w:fill="auto"/>
            <w:hideMark/>
          </w:tcPr>
          <w:p w14:paraId="3C0C7080"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cilindro medidor fabricado en vidrio borosilicato diseñado para la medición precisa de volúmenes de líquidos en laboratorio. Presenta graduaciones impresas o moldeadas de fácil lectura, base ancha para mayor estabilidad de vidrio o plástico con o sin pico vertedor. Capacidad 50 mL resistente a la mayoría de reactivos químicos y a variaciones de temperatura.</w:t>
            </w:r>
          </w:p>
        </w:tc>
        <w:tc>
          <w:tcPr>
            <w:tcW w:w="541" w:type="dxa"/>
            <w:shd w:val="clear" w:color="auto" w:fill="auto"/>
            <w:hideMark/>
          </w:tcPr>
          <w:p w14:paraId="4444BD0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3</w:t>
            </w:r>
          </w:p>
        </w:tc>
        <w:tc>
          <w:tcPr>
            <w:tcW w:w="478" w:type="dxa"/>
            <w:shd w:val="clear" w:color="auto" w:fill="auto"/>
            <w:noWrap/>
            <w:hideMark/>
          </w:tcPr>
          <w:p w14:paraId="1C15CB2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0B1E934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2F058A1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53.800 </w:t>
            </w:r>
          </w:p>
        </w:tc>
        <w:tc>
          <w:tcPr>
            <w:tcW w:w="911" w:type="dxa"/>
            <w:shd w:val="clear" w:color="auto" w:fill="auto"/>
            <w:noWrap/>
            <w:hideMark/>
          </w:tcPr>
          <w:p w14:paraId="028ECEFA"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161.400 </w:t>
            </w:r>
          </w:p>
        </w:tc>
      </w:tr>
      <w:tr w:rsidR="00581335" w:rsidRPr="002439C6" w14:paraId="5C9FD0E3" w14:textId="77777777" w:rsidTr="00581335">
        <w:trPr>
          <w:trHeight w:val="1632"/>
        </w:trPr>
        <w:tc>
          <w:tcPr>
            <w:tcW w:w="348" w:type="dxa"/>
            <w:shd w:val="clear" w:color="auto" w:fill="auto"/>
            <w:noWrap/>
            <w:hideMark/>
          </w:tcPr>
          <w:p w14:paraId="0F9E027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95</w:t>
            </w:r>
          </w:p>
        </w:tc>
        <w:tc>
          <w:tcPr>
            <w:tcW w:w="1632" w:type="dxa"/>
            <w:shd w:val="clear" w:color="auto" w:fill="auto"/>
            <w:noWrap/>
            <w:hideMark/>
          </w:tcPr>
          <w:p w14:paraId="3BD1CAB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w:t>
            </w:r>
          </w:p>
        </w:tc>
        <w:tc>
          <w:tcPr>
            <w:tcW w:w="3283" w:type="dxa"/>
            <w:shd w:val="clear" w:color="auto" w:fill="auto"/>
            <w:hideMark/>
          </w:tcPr>
          <w:p w14:paraId="7A5A20B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cilindro medidor fabricado en vidrio borosilicato diseñado para la medición precisa de volúmenes de líquidos en laboratorio. Presenta graduaciones impresas o moldeadas de fácil lectura, base ancha para mayor estabilidad de vidrio o plástico con o sin pico vertedor. Capacidad 100 mL resistente a la mayoría de reactivos químicos y a variaciones de temperatura.</w:t>
            </w:r>
          </w:p>
        </w:tc>
        <w:tc>
          <w:tcPr>
            <w:tcW w:w="541" w:type="dxa"/>
            <w:shd w:val="clear" w:color="auto" w:fill="auto"/>
            <w:hideMark/>
          </w:tcPr>
          <w:p w14:paraId="6EA54D8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3</w:t>
            </w:r>
          </w:p>
        </w:tc>
        <w:tc>
          <w:tcPr>
            <w:tcW w:w="478" w:type="dxa"/>
            <w:shd w:val="clear" w:color="auto" w:fill="auto"/>
            <w:noWrap/>
            <w:hideMark/>
          </w:tcPr>
          <w:p w14:paraId="569C912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F79864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420DDA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65.700 </w:t>
            </w:r>
          </w:p>
        </w:tc>
        <w:tc>
          <w:tcPr>
            <w:tcW w:w="911" w:type="dxa"/>
            <w:shd w:val="clear" w:color="auto" w:fill="auto"/>
            <w:noWrap/>
            <w:hideMark/>
          </w:tcPr>
          <w:p w14:paraId="7BE35E26"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197.100 </w:t>
            </w:r>
          </w:p>
        </w:tc>
      </w:tr>
      <w:tr w:rsidR="00581335" w:rsidRPr="002439C6" w14:paraId="40DC4B89" w14:textId="77777777" w:rsidTr="00581335">
        <w:trPr>
          <w:trHeight w:val="1632"/>
        </w:trPr>
        <w:tc>
          <w:tcPr>
            <w:tcW w:w="348" w:type="dxa"/>
            <w:shd w:val="clear" w:color="auto" w:fill="auto"/>
            <w:noWrap/>
            <w:hideMark/>
          </w:tcPr>
          <w:p w14:paraId="7A1D82A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96</w:t>
            </w:r>
          </w:p>
        </w:tc>
        <w:tc>
          <w:tcPr>
            <w:tcW w:w="1632" w:type="dxa"/>
            <w:shd w:val="clear" w:color="auto" w:fill="auto"/>
            <w:noWrap/>
            <w:hideMark/>
          </w:tcPr>
          <w:p w14:paraId="592B54D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w:t>
            </w:r>
          </w:p>
        </w:tc>
        <w:tc>
          <w:tcPr>
            <w:tcW w:w="3283" w:type="dxa"/>
            <w:shd w:val="clear" w:color="auto" w:fill="auto"/>
            <w:hideMark/>
          </w:tcPr>
          <w:p w14:paraId="6E62408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cilindro medidor fabricado en vidrio borosilicato diseñado para la medición precisa de volúmenes de líquidos en laboratorio. Presenta graduaciones impresas o moldeadas de fácil lectura, base ancha para mayor estabilidad de vidrio o plástico con o sin pico vertedor. Capacidad 250 mL resistente a la mayoría de reactivos químicos y a variaciones de temperatura.</w:t>
            </w:r>
          </w:p>
        </w:tc>
        <w:tc>
          <w:tcPr>
            <w:tcW w:w="541" w:type="dxa"/>
            <w:shd w:val="clear" w:color="auto" w:fill="auto"/>
            <w:hideMark/>
          </w:tcPr>
          <w:p w14:paraId="4A524A0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51EE66A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1E5D1E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28B2DA6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125.300 </w:t>
            </w:r>
          </w:p>
        </w:tc>
        <w:tc>
          <w:tcPr>
            <w:tcW w:w="911" w:type="dxa"/>
            <w:shd w:val="clear" w:color="auto" w:fill="auto"/>
            <w:noWrap/>
            <w:hideMark/>
          </w:tcPr>
          <w:p w14:paraId="70712D1B"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250.600 </w:t>
            </w:r>
          </w:p>
        </w:tc>
      </w:tr>
      <w:tr w:rsidR="00581335" w:rsidRPr="002439C6" w14:paraId="3AEE0648" w14:textId="77777777" w:rsidTr="00581335">
        <w:trPr>
          <w:trHeight w:val="1632"/>
        </w:trPr>
        <w:tc>
          <w:tcPr>
            <w:tcW w:w="348" w:type="dxa"/>
            <w:shd w:val="clear" w:color="auto" w:fill="auto"/>
            <w:noWrap/>
            <w:hideMark/>
          </w:tcPr>
          <w:p w14:paraId="5E4AA1C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97</w:t>
            </w:r>
          </w:p>
        </w:tc>
        <w:tc>
          <w:tcPr>
            <w:tcW w:w="1632" w:type="dxa"/>
            <w:shd w:val="clear" w:color="auto" w:fill="auto"/>
            <w:noWrap/>
            <w:hideMark/>
          </w:tcPr>
          <w:p w14:paraId="702E504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w:t>
            </w:r>
          </w:p>
        </w:tc>
        <w:tc>
          <w:tcPr>
            <w:tcW w:w="3283" w:type="dxa"/>
            <w:shd w:val="clear" w:color="auto" w:fill="auto"/>
            <w:hideMark/>
          </w:tcPr>
          <w:p w14:paraId="3BCA719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cilindro medidor fabricado en vidrio borosilicato diseñado para la medición precisa de volúmenes de líquidos en laboratorio. Presenta graduaciones impresas o moldeadas de fácil lectura, base ancha para mayor estabilidad de vidrio o plástico con o sin pico vertedor. Capacidad 500 mL resistente a la mayoría de reactivos químicos y a variaciones de temperatura.</w:t>
            </w:r>
          </w:p>
        </w:tc>
        <w:tc>
          <w:tcPr>
            <w:tcW w:w="541" w:type="dxa"/>
            <w:shd w:val="clear" w:color="auto" w:fill="auto"/>
            <w:hideMark/>
          </w:tcPr>
          <w:p w14:paraId="607541F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0D7087D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3117CDD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793FCA2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188.000 </w:t>
            </w:r>
          </w:p>
        </w:tc>
        <w:tc>
          <w:tcPr>
            <w:tcW w:w="911" w:type="dxa"/>
            <w:shd w:val="clear" w:color="auto" w:fill="auto"/>
            <w:noWrap/>
            <w:hideMark/>
          </w:tcPr>
          <w:p w14:paraId="1F3B2458"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376.000 </w:t>
            </w:r>
          </w:p>
        </w:tc>
      </w:tr>
      <w:tr w:rsidR="00581335" w:rsidRPr="002439C6" w14:paraId="2C0723B1" w14:textId="77777777" w:rsidTr="00581335">
        <w:trPr>
          <w:trHeight w:val="1632"/>
        </w:trPr>
        <w:tc>
          <w:tcPr>
            <w:tcW w:w="348" w:type="dxa"/>
            <w:shd w:val="clear" w:color="auto" w:fill="auto"/>
            <w:noWrap/>
            <w:hideMark/>
          </w:tcPr>
          <w:p w14:paraId="5873C87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98</w:t>
            </w:r>
          </w:p>
        </w:tc>
        <w:tc>
          <w:tcPr>
            <w:tcW w:w="1632" w:type="dxa"/>
            <w:shd w:val="clear" w:color="auto" w:fill="auto"/>
            <w:noWrap/>
            <w:hideMark/>
          </w:tcPr>
          <w:p w14:paraId="6CDEE5B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w:t>
            </w:r>
          </w:p>
        </w:tc>
        <w:tc>
          <w:tcPr>
            <w:tcW w:w="3283" w:type="dxa"/>
            <w:shd w:val="clear" w:color="auto" w:fill="auto"/>
            <w:hideMark/>
          </w:tcPr>
          <w:p w14:paraId="3E2028F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cilindro medidor fabricado en vidrio borosilicato diseñado para la medición precisa de volúmenes de líquidos en laboratorio. Presenta graduaciones impresas o moldeadas de fácil lectura, base ancha para mayor estabilidad de vidrio o plástico con o sin pico vertedor. Capacidad 1000 mL resistente a la mayoría de reactivos químicos y a variaciones de temperatura.</w:t>
            </w:r>
          </w:p>
        </w:tc>
        <w:tc>
          <w:tcPr>
            <w:tcW w:w="541" w:type="dxa"/>
            <w:shd w:val="clear" w:color="auto" w:fill="auto"/>
            <w:hideMark/>
          </w:tcPr>
          <w:p w14:paraId="72D0C3F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4DFB40C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3AF044E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2E8FC6A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288.400 </w:t>
            </w:r>
          </w:p>
        </w:tc>
        <w:tc>
          <w:tcPr>
            <w:tcW w:w="911" w:type="dxa"/>
            <w:shd w:val="clear" w:color="auto" w:fill="auto"/>
            <w:noWrap/>
            <w:hideMark/>
          </w:tcPr>
          <w:p w14:paraId="5CC5D19C"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576.800 </w:t>
            </w:r>
          </w:p>
        </w:tc>
      </w:tr>
      <w:tr w:rsidR="00581335" w:rsidRPr="002439C6" w14:paraId="4829AB65" w14:textId="77777777" w:rsidTr="00581335">
        <w:trPr>
          <w:trHeight w:val="1632"/>
        </w:trPr>
        <w:tc>
          <w:tcPr>
            <w:tcW w:w="348" w:type="dxa"/>
            <w:shd w:val="clear" w:color="auto" w:fill="auto"/>
            <w:noWrap/>
            <w:hideMark/>
          </w:tcPr>
          <w:p w14:paraId="28F104D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99</w:t>
            </w:r>
          </w:p>
        </w:tc>
        <w:tc>
          <w:tcPr>
            <w:tcW w:w="1632" w:type="dxa"/>
            <w:shd w:val="clear" w:color="auto" w:fill="auto"/>
            <w:noWrap/>
            <w:hideMark/>
          </w:tcPr>
          <w:p w14:paraId="4154314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w:t>
            </w:r>
          </w:p>
        </w:tc>
        <w:tc>
          <w:tcPr>
            <w:tcW w:w="3283" w:type="dxa"/>
            <w:shd w:val="clear" w:color="auto" w:fill="auto"/>
            <w:hideMark/>
          </w:tcPr>
          <w:p w14:paraId="55F45ED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cilindro medidor fabricado en vidrio borosilicato diseñado para la medición precisa de volúmenes de líquidos en laboratorio. Presenta graduaciones impresas o moldeadas de fácil lectura, base ancha para mayor estabilidad de vidrio o plástico con o sin pico vertedor. Capacidad 2000 mL resistente a la mayoría de reactivos químicos y a variaciones de temperatura.</w:t>
            </w:r>
          </w:p>
        </w:tc>
        <w:tc>
          <w:tcPr>
            <w:tcW w:w="541" w:type="dxa"/>
            <w:shd w:val="clear" w:color="auto" w:fill="auto"/>
            <w:hideMark/>
          </w:tcPr>
          <w:p w14:paraId="1AE65DD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w:t>
            </w:r>
          </w:p>
        </w:tc>
        <w:tc>
          <w:tcPr>
            <w:tcW w:w="478" w:type="dxa"/>
            <w:shd w:val="clear" w:color="auto" w:fill="auto"/>
            <w:noWrap/>
            <w:hideMark/>
          </w:tcPr>
          <w:p w14:paraId="12AA690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2E8D0C2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7418651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426.000 </w:t>
            </w:r>
          </w:p>
        </w:tc>
        <w:tc>
          <w:tcPr>
            <w:tcW w:w="911" w:type="dxa"/>
            <w:shd w:val="clear" w:color="auto" w:fill="auto"/>
            <w:noWrap/>
            <w:hideMark/>
          </w:tcPr>
          <w:p w14:paraId="66EA5E1F"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426.000 </w:t>
            </w:r>
          </w:p>
        </w:tc>
      </w:tr>
      <w:tr w:rsidR="00581335" w:rsidRPr="002439C6" w14:paraId="3EACCD64" w14:textId="77777777" w:rsidTr="00581335">
        <w:trPr>
          <w:trHeight w:val="1836"/>
        </w:trPr>
        <w:tc>
          <w:tcPr>
            <w:tcW w:w="348" w:type="dxa"/>
            <w:shd w:val="clear" w:color="auto" w:fill="auto"/>
            <w:noWrap/>
            <w:hideMark/>
          </w:tcPr>
          <w:p w14:paraId="01A11D4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100</w:t>
            </w:r>
          </w:p>
        </w:tc>
        <w:tc>
          <w:tcPr>
            <w:tcW w:w="1632" w:type="dxa"/>
            <w:shd w:val="clear" w:color="auto" w:fill="auto"/>
            <w:noWrap/>
            <w:hideMark/>
          </w:tcPr>
          <w:p w14:paraId="1CEC1F1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Vaso de precipitados de plástico</w:t>
            </w:r>
          </w:p>
        </w:tc>
        <w:tc>
          <w:tcPr>
            <w:tcW w:w="3283" w:type="dxa"/>
            <w:shd w:val="clear" w:color="auto" w:fill="auto"/>
            <w:hideMark/>
          </w:tcPr>
          <w:p w14:paraId="2972162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Vaso de precipitados, fabricado en polipropileno de alta resistencia térmica y química, diseñado para la preparación, mezcla, calentamiento y vertido de soluciones en laboratorio. Forma cilíndrica con borde reforzado, pico vertedor para un trasvase controlado y graduación impresa  (capacidad 50 ml). Es resistente a choques térmicos y a la acción de la mayoría de reactivos químicos,para esterilización en autoclave (121 °C).</w:t>
            </w:r>
          </w:p>
        </w:tc>
        <w:tc>
          <w:tcPr>
            <w:tcW w:w="541" w:type="dxa"/>
            <w:shd w:val="clear" w:color="auto" w:fill="auto"/>
            <w:hideMark/>
          </w:tcPr>
          <w:p w14:paraId="18C8456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20</w:t>
            </w:r>
          </w:p>
        </w:tc>
        <w:tc>
          <w:tcPr>
            <w:tcW w:w="478" w:type="dxa"/>
            <w:shd w:val="clear" w:color="auto" w:fill="auto"/>
            <w:noWrap/>
            <w:hideMark/>
          </w:tcPr>
          <w:p w14:paraId="561C165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0E92D2F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31B4933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10.700 </w:t>
            </w:r>
          </w:p>
        </w:tc>
        <w:tc>
          <w:tcPr>
            <w:tcW w:w="911" w:type="dxa"/>
            <w:shd w:val="clear" w:color="auto" w:fill="auto"/>
            <w:noWrap/>
            <w:hideMark/>
          </w:tcPr>
          <w:p w14:paraId="778183DE"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214.000 </w:t>
            </w:r>
          </w:p>
        </w:tc>
      </w:tr>
      <w:tr w:rsidR="00581335" w:rsidRPr="002439C6" w14:paraId="72F4A1D5" w14:textId="77777777" w:rsidTr="00581335">
        <w:trPr>
          <w:trHeight w:val="1836"/>
        </w:trPr>
        <w:tc>
          <w:tcPr>
            <w:tcW w:w="348" w:type="dxa"/>
            <w:shd w:val="clear" w:color="auto" w:fill="auto"/>
            <w:noWrap/>
            <w:hideMark/>
          </w:tcPr>
          <w:p w14:paraId="065044F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101</w:t>
            </w:r>
          </w:p>
        </w:tc>
        <w:tc>
          <w:tcPr>
            <w:tcW w:w="1632" w:type="dxa"/>
            <w:shd w:val="clear" w:color="auto" w:fill="auto"/>
            <w:noWrap/>
            <w:hideMark/>
          </w:tcPr>
          <w:p w14:paraId="507307E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Vaso de precipitados de plástico</w:t>
            </w:r>
          </w:p>
        </w:tc>
        <w:tc>
          <w:tcPr>
            <w:tcW w:w="3283" w:type="dxa"/>
            <w:shd w:val="clear" w:color="auto" w:fill="auto"/>
            <w:hideMark/>
          </w:tcPr>
          <w:p w14:paraId="6802338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Vaso de precipitados, fabricado en polipropileno de alta resistencia térmica y química, diseñado para la preparación, mezcla, calentamiento y vertido de soluciones en laboratorio. Forma cilíndrica con borde reforzado, pico vertedor para un trasvase controlado y graduación impresa  (capacidad 100 ml). Es resistente a choques térmicos y a la acción de la mayoría de reactivos químicos,para esterilización en autoclave (121 °C).</w:t>
            </w:r>
          </w:p>
        </w:tc>
        <w:tc>
          <w:tcPr>
            <w:tcW w:w="541" w:type="dxa"/>
            <w:shd w:val="clear" w:color="auto" w:fill="auto"/>
            <w:hideMark/>
          </w:tcPr>
          <w:p w14:paraId="377EC3D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20</w:t>
            </w:r>
          </w:p>
        </w:tc>
        <w:tc>
          <w:tcPr>
            <w:tcW w:w="478" w:type="dxa"/>
            <w:shd w:val="clear" w:color="auto" w:fill="auto"/>
            <w:noWrap/>
            <w:hideMark/>
          </w:tcPr>
          <w:p w14:paraId="152CD39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73BF488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C4E9E7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10.700 </w:t>
            </w:r>
          </w:p>
        </w:tc>
        <w:tc>
          <w:tcPr>
            <w:tcW w:w="911" w:type="dxa"/>
            <w:shd w:val="clear" w:color="auto" w:fill="auto"/>
            <w:noWrap/>
            <w:hideMark/>
          </w:tcPr>
          <w:p w14:paraId="3F211377"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214.000 </w:t>
            </w:r>
          </w:p>
        </w:tc>
      </w:tr>
      <w:tr w:rsidR="00581335" w:rsidRPr="002439C6" w14:paraId="53CE1ED8" w14:textId="77777777" w:rsidTr="00581335">
        <w:trPr>
          <w:trHeight w:val="1836"/>
        </w:trPr>
        <w:tc>
          <w:tcPr>
            <w:tcW w:w="348" w:type="dxa"/>
            <w:shd w:val="clear" w:color="auto" w:fill="auto"/>
            <w:noWrap/>
            <w:hideMark/>
          </w:tcPr>
          <w:p w14:paraId="2DF14DE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102</w:t>
            </w:r>
          </w:p>
        </w:tc>
        <w:tc>
          <w:tcPr>
            <w:tcW w:w="1632" w:type="dxa"/>
            <w:shd w:val="clear" w:color="auto" w:fill="auto"/>
            <w:noWrap/>
            <w:hideMark/>
          </w:tcPr>
          <w:p w14:paraId="1D469BE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Vaso de precipitados de plástico</w:t>
            </w:r>
          </w:p>
        </w:tc>
        <w:tc>
          <w:tcPr>
            <w:tcW w:w="3283" w:type="dxa"/>
            <w:shd w:val="clear" w:color="auto" w:fill="auto"/>
            <w:hideMark/>
          </w:tcPr>
          <w:p w14:paraId="38D849A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Vaso de precipitados, fabricado en polipropileno de alta resistencia térmica y química, diseñado para la preparación, mezcla, calentamiento y vertido de soluciones en laboratorio. Forma cilíndrica con borde reforzado, pico vertedor para un trasvase controlado y graduación impresa  (capacidad 250 ml). Es resistente a choques térmicos y a la acción de la mayoría de reactivos químicos,para esterilización en autoclave (121 °C).</w:t>
            </w:r>
          </w:p>
        </w:tc>
        <w:tc>
          <w:tcPr>
            <w:tcW w:w="541" w:type="dxa"/>
            <w:shd w:val="clear" w:color="auto" w:fill="auto"/>
            <w:hideMark/>
          </w:tcPr>
          <w:p w14:paraId="5C8E903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20</w:t>
            </w:r>
          </w:p>
        </w:tc>
        <w:tc>
          <w:tcPr>
            <w:tcW w:w="478" w:type="dxa"/>
            <w:shd w:val="clear" w:color="auto" w:fill="auto"/>
            <w:noWrap/>
            <w:hideMark/>
          </w:tcPr>
          <w:p w14:paraId="643F742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7158FF9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7E535AB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10.700 </w:t>
            </w:r>
          </w:p>
        </w:tc>
        <w:tc>
          <w:tcPr>
            <w:tcW w:w="911" w:type="dxa"/>
            <w:shd w:val="clear" w:color="auto" w:fill="auto"/>
            <w:noWrap/>
            <w:hideMark/>
          </w:tcPr>
          <w:p w14:paraId="5ECC044E"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214.000 </w:t>
            </w:r>
          </w:p>
        </w:tc>
      </w:tr>
      <w:tr w:rsidR="00581335" w:rsidRPr="002439C6" w14:paraId="0DA56801" w14:textId="77777777" w:rsidTr="00581335">
        <w:trPr>
          <w:trHeight w:val="1836"/>
        </w:trPr>
        <w:tc>
          <w:tcPr>
            <w:tcW w:w="348" w:type="dxa"/>
            <w:shd w:val="clear" w:color="auto" w:fill="auto"/>
            <w:noWrap/>
            <w:hideMark/>
          </w:tcPr>
          <w:p w14:paraId="25821DA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103</w:t>
            </w:r>
          </w:p>
        </w:tc>
        <w:tc>
          <w:tcPr>
            <w:tcW w:w="1632" w:type="dxa"/>
            <w:shd w:val="clear" w:color="auto" w:fill="auto"/>
            <w:noWrap/>
            <w:hideMark/>
          </w:tcPr>
          <w:p w14:paraId="0BB7AF8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Vaso de precipitados de plástico</w:t>
            </w:r>
          </w:p>
        </w:tc>
        <w:tc>
          <w:tcPr>
            <w:tcW w:w="3283" w:type="dxa"/>
            <w:shd w:val="clear" w:color="auto" w:fill="auto"/>
            <w:hideMark/>
          </w:tcPr>
          <w:p w14:paraId="20D5F2E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Vaso de precipitados, fabricado en polipropileno de alta resistencia térmica y química, diseñado para la preparación, mezcla, calentamiento y vertido de soluciones en laboratorio. Forma cilíndrica con borde reforzado, pico vertedor para un trasvase controlado y graduación impresa  (capacidad 500 ml). Es resistente a choques térmicos y a la acción de la mayoría de reactivos químicos,para esterilización en autoclave (121 °C).</w:t>
            </w:r>
          </w:p>
        </w:tc>
        <w:tc>
          <w:tcPr>
            <w:tcW w:w="541" w:type="dxa"/>
            <w:shd w:val="clear" w:color="auto" w:fill="auto"/>
            <w:hideMark/>
          </w:tcPr>
          <w:p w14:paraId="4AD3B95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15</w:t>
            </w:r>
          </w:p>
        </w:tc>
        <w:tc>
          <w:tcPr>
            <w:tcW w:w="478" w:type="dxa"/>
            <w:shd w:val="clear" w:color="auto" w:fill="auto"/>
            <w:noWrap/>
            <w:hideMark/>
          </w:tcPr>
          <w:p w14:paraId="377943E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22DADF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6D786C9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14.500 </w:t>
            </w:r>
          </w:p>
        </w:tc>
        <w:tc>
          <w:tcPr>
            <w:tcW w:w="911" w:type="dxa"/>
            <w:shd w:val="clear" w:color="auto" w:fill="auto"/>
            <w:noWrap/>
            <w:hideMark/>
          </w:tcPr>
          <w:p w14:paraId="3FE9F694"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217.500 </w:t>
            </w:r>
          </w:p>
        </w:tc>
      </w:tr>
      <w:tr w:rsidR="00581335" w:rsidRPr="002439C6" w14:paraId="0ADDF277" w14:textId="77777777" w:rsidTr="00581335">
        <w:trPr>
          <w:trHeight w:val="1836"/>
        </w:trPr>
        <w:tc>
          <w:tcPr>
            <w:tcW w:w="348" w:type="dxa"/>
            <w:shd w:val="clear" w:color="auto" w:fill="auto"/>
            <w:noWrap/>
            <w:hideMark/>
          </w:tcPr>
          <w:p w14:paraId="1D93B8D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104</w:t>
            </w:r>
          </w:p>
        </w:tc>
        <w:tc>
          <w:tcPr>
            <w:tcW w:w="1632" w:type="dxa"/>
            <w:shd w:val="clear" w:color="auto" w:fill="auto"/>
            <w:noWrap/>
            <w:hideMark/>
          </w:tcPr>
          <w:p w14:paraId="4726FF1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Vaso de precipitados de plástico</w:t>
            </w:r>
          </w:p>
        </w:tc>
        <w:tc>
          <w:tcPr>
            <w:tcW w:w="3283" w:type="dxa"/>
            <w:shd w:val="clear" w:color="auto" w:fill="auto"/>
            <w:hideMark/>
          </w:tcPr>
          <w:p w14:paraId="3E14561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Vaso de precipitados, fabricado en polipropileno de alta resistencia térmica y química, diseñado para la preparación, mezcla, calentamiento y vertido de soluciones en laboratorio. Forma cilíndrica con borde reforzado, pico vertedor para un trasvase controlado y graduación impresa  (capacidad 1000 ml). Es resistente a choques térmicos y a la acción de la mayoría de reactivos químicos,para esterilización en autoclave (121 °C).</w:t>
            </w:r>
          </w:p>
        </w:tc>
        <w:tc>
          <w:tcPr>
            <w:tcW w:w="541" w:type="dxa"/>
            <w:shd w:val="clear" w:color="auto" w:fill="auto"/>
            <w:hideMark/>
          </w:tcPr>
          <w:p w14:paraId="2D388B0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15</w:t>
            </w:r>
          </w:p>
        </w:tc>
        <w:tc>
          <w:tcPr>
            <w:tcW w:w="478" w:type="dxa"/>
            <w:shd w:val="clear" w:color="auto" w:fill="auto"/>
            <w:noWrap/>
            <w:hideMark/>
          </w:tcPr>
          <w:p w14:paraId="6D3B368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3A6E95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551F5B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20.000 </w:t>
            </w:r>
          </w:p>
        </w:tc>
        <w:tc>
          <w:tcPr>
            <w:tcW w:w="911" w:type="dxa"/>
            <w:shd w:val="clear" w:color="auto" w:fill="auto"/>
            <w:noWrap/>
            <w:hideMark/>
          </w:tcPr>
          <w:p w14:paraId="344D0C4F"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300.000 </w:t>
            </w:r>
          </w:p>
        </w:tc>
      </w:tr>
      <w:tr w:rsidR="00581335" w:rsidRPr="002439C6" w14:paraId="041B71AE" w14:textId="77777777" w:rsidTr="00581335">
        <w:trPr>
          <w:trHeight w:val="1836"/>
        </w:trPr>
        <w:tc>
          <w:tcPr>
            <w:tcW w:w="348" w:type="dxa"/>
            <w:shd w:val="clear" w:color="auto" w:fill="auto"/>
            <w:noWrap/>
            <w:hideMark/>
          </w:tcPr>
          <w:p w14:paraId="7FAB88C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105</w:t>
            </w:r>
          </w:p>
        </w:tc>
        <w:tc>
          <w:tcPr>
            <w:tcW w:w="1632" w:type="dxa"/>
            <w:shd w:val="clear" w:color="auto" w:fill="auto"/>
            <w:noWrap/>
            <w:hideMark/>
          </w:tcPr>
          <w:p w14:paraId="72AC554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Vaso de precipitados de plástico</w:t>
            </w:r>
          </w:p>
        </w:tc>
        <w:tc>
          <w:tcPr>
            <w:tcW w:w="3283" w:type="dxa"/>
            <w:shd w:val="clear" w:color="auto" w:fill="auto"/>
            <w:hideMark/>
          </w:tcPr>
          <w:p w14:paraId="585043C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Vaso de precipitados, fabricado en polipropileno de alta resistencia térmica y química, diseñado para la preparación, mezcla, calentamiento y vertido de soluciones en laboratorio. Forma cilíndrica con borde reforzado, pico vertedor para un trasvase controlado y graduación impresa  (capacidad 2000 ml). Es resistente a choques térmicos y a la acción de la mayoría de reactivos químicos,para esterilización en autoclave (121 °C).</w:t>
            </w:r>
          </w:p>
        </w:tc>
        <w:tc>
          <w:tcPr>
            <w:tcW w:w="541" w:type="dxa"/>
            <w:shd w:val="clear" w:color="auto" w:fill="auto"/>
            <w:hideMark/>
          </w:tcPr>
          <w:p w14:paraId="1A462CE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6</w:t>
            </w:r>
          </w:p>
        </w:tc>
        <w:tc>
          <w:tcPr>
            <w:tcW w:w="478" w:type="dxa"/>
            <w:shd w:val="clear" w:color="auto" w:fill="auto"/>
            <w:noWrap/>
            <w:hideMark/>
          </w:tcPr>
          <w:p w14:paraId="11353F1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2C1E61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23A3E10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35.600 </w:t>
            </w:r>
          </w:p>
        </w:tc>
        <w:tc>
          <w:tcPr>
            <w:tcW w:w="911" w:type="dxa"/>
            <w:shd w:val="clear" w:color="auto" w:fill="auto"/>
            <w:noWrap/>
            <w:hideMark/>
          </w:tcPr>
          <w:p w14:paraId="60FDCFD8"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213.600 </w:t>
            </w:r>
          </w:p>
        </w:tc>
      </w:tr>
      <w:tr w:rsidR="00581335" w:rsidRPr="002439C6" w14:paraId="0DDB6689" w14:textId="77777777" w:rsidTr="00581335">
        <w:trPr>
          <w:trHeight w:val="2244"/>
        </w:trPr>
        <w:tc>
          <w:tcPr>
            <w:tcW w:w="348" w:type="dxa"/>
            <w:shd w:val="clear" w:color="auto" w:fill="auto"/>
            <w:noWrap/>
            <w:hideMark/>
          </w:tcPr>
          <w:p w14:paraId="2BE4DC6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106</w:t>
            </w:r>
          </w:p>
        </w:tc>
        <w:tc>
          <w:tcPr>
            <w:tcW w:w="1632" w:type="dxa"/>
            <w:shd w:val="clear" w:color="auto" w:fill="auto"/>
            <w:noWrap/>
            <w:hideMark/>
          </w:tcPr>
          <w:p w14:paraId="05E7499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Matraz erlenmeyer de plástico</w:t>
            </w:r>
          </w:p>
        </w:tc>
        <w:tc>
          <w:tcPr>
            <w:tcW w:w="3283" w:type="dxa"/>
            <w:shd w:val="clear" w:color="auto" w:fill="auto"/>
            <w:hideMark/>
          </w:tcPr>
          <w:p w14:paraId="14FFAD6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Matraz Erlenmeyer, fabricado en plipropileno de alta resistencia térmica y química, diseñado para la preparación, mezcla, calentamiento y almacenamiento temporal de soluciones en laboratorio. Presenta forma cónica con base plana que proporciona estabilidad, cuello estrecho que minimiza el riesgo de derrames y permite el uso de tapones o cubiertas, y graduación impresa para estimar volúmenes (capacidad 50ml). Apto para  esterilización en autoclave (121 °C) y resistente a la mayoría de reactivos químicos. </w:t>
            </w:r>
          </w:p>
        </w:tc>
        <w:tc>
          <w:tcPr>
            <w:tcW w:w="541" w:type="dxa"/>
            <w:shd w:val="clear" w:color="auto" w:fill="auto"/>
            <w:hideMark/>
          </w:tcPr>
          <w:p w14:paraId="2FAB358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w:t>
            </w:r>
          </w:p>
        </w:tc>
        <w:tc>
          <w:tcPr>
            <w:tcW w:w="478" w:type="dxa"/>
            <w:shd w:val="clear" w:color="auto" w:fill="auto"/>
            <w:noWrap/>
            <w:hideMark/>
          </w:tcPr>
          <w:p w14:paraId="5632883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6B9F801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6101C65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5.800 </w:t>
            </w:r>
          </w:p>
        </w:tc>
        <w:tc>
          <w:tcPr>
            <w:tcW w:w="911" w:type="dxa"/>
            <w:shd w:val="clear" w:color="auto" w:fill="auto"/>
            <w:noWrap/>
            <w:hideMark/>
          </w:tcPr>
          <w:p w14:paraId="1C233600"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58.000 </w:t>
            </w:r>
          </w:p>
        </w:tc>
      </w:tr>
      <w:tr w:rsidR="00581335" w:rsidRPr="002439C6" w14:paraId="4C96FED6" w14:textId="77777777" w:rsidTr="00581335">
        <w:trPr>
          <w:trHeight w:val="2244"/>
        </w:trPr>
        <w:tc>
          <w:tcPr>
            <w:tcW w:w="348" w:type="dxa"/>
            <w:shd w:val="clear" w:color="auto" w:fill="auto"/>
            <w:noWrap/>
            <w:hideMark/>
          </w:tcPr>
          <w:p w14:paraId="34F942A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107</w:t>
            </w:r>
          </w:p>
        </w:tc>
        <w:tc>
          <w:tcPr>
            <w:tcW w:w="1632" w:type="dxa"/>
            <w:shd w:val="clear" w:color="auto" w:fill="auto"/>
            <w:noWrap/>
            <w:hideMark/>
          </w:tcPr>
          <w:p w14:paraId="597ED2F0"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Matraz erlenmeyer de plástico</w:t>
            </w:r>
          </w:p>
        </w:tc>
        <w:tc>
          <w:tcPr>
            <w:tcW w:w="3283" w:type="dxa"/>
            <w:shd w:val="clear" w:color="auto" w:fill="auto"/>
            <w:hideMark/>
          </w:tcPr>
          <w:p w14:paraId="716F2BF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Matraz Erlenmeyer, fabricado en plipropileno de alta resistencia térmica y química, diseñado para la preparación, mezcla, calentamiento y almacenamiento temporal de soluciones en laboratorio. Presenta forma cónica con base plana que proporciona estabilidad, cuello estrecho que minimiza el riesgo de derrames y permite el uso de tapones o cubiertas, y graduación impresa para estimar volúmenes (capacidad 100ml). Apto para  esterilización en autoclave (121 °C) y resistente a la mayoría de reactivos químicos. </w:t>
            </w:r>
          </w:p>
        </w:tc>
        <w:tc>
          <w:tcPr>
            <w:tcW w:w="541" w:type="dxa"/>
            <w:shd w:val="clear" w:color="auto" w:fill="auto"/>
            <w:hideMark/>
          </w:tcPr>
          <w:p w14:paraId="50F64FF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12</w:t>
            </w:r>
          </w:p>
        </w:tc>
        <w:tc>
          <w:tcPr>
            <w:tcW w:w="478" w:type="dxa"/>
            <w:shd w:val="clear" w:color="auto" w:fill="auto"/>
            <w:noWrap/>
            <w:hideMark/>
          </w:tcPr>
          <w:p w14:paraId="14676BA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5E9A088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564751C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70.000 </w:t>
            </w:r>
          </w:p>
        </w:tc>
        <w:tc>
          <w:tcPr>
            <w:tcW w:w="911" w:type="dxa"/>
            <w:shd w:val="clear" w:color="auto" w:fill="auto"/>
            <w:noWrap/>
            <w:hideMark/>
          </w:tcPr>
          <w:p w14:paraId="091A2F58"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840.000 </w:t>
            </w:r>
          </w:p>
        </w:tc>
      </w:tr>
      <w:tr w:rsidR="00581335" w:rsidRPr="002439C6" w14:paraId="7328CC04" w14:textId="77777777" w:rsidTr="00581335">
        <w:trPr>
          <w:trHeight w:val="2244"/>
        </w:trPr>
        <w:tc>
          <w:tcPr>
            <w:tcW w:w="348" w:type="dxa"/>
            <w:shd w:val="clear" w:color="auto" w:fill="auto"/>
            <w:noWrap/>
            <w:hideMark/>
          </w:tcPr>
          <w:p w14:paraId="57BB369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108</w:t>
            </w:r>
          </w:p>
        </w:tc>
        <w:tc>
          <w:tcPr>
            <w:tcW w:w="1632" w:type="dxa"/>
            <w:shd w:val="clear" w:color="auto" w:fill="auto"/>
            <w:noWrap/>
            <w:hideMark/>
          </w:tcPr>
          <w:p w14:paraId="442A8A2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Matraz erlenmeyer de plástico</w:t>
            </w:r>
          </w:p>
        </w:tc>
        <w:tc>
          <w:tcPr>
            <w:tcW w:w="3283" w:type="dxa"/>
            <w:shd w:val="clear" w:color="auto" w:fill="auto"/>
            <w:hideMark/>
          </w:tcPr>
          <w:p w14:paraId="2F02328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Matraz Erlenmeyer, fabricado en plipropileno de alta resistencia térmica y química, diseñado para la preparación, mezcla, calentamiento y almacenamiento temporal de soluciones en laboratorio. Presenta forma cónica con base plana que proporciona estabilidad, cuello estrecho que minimiza el riesgo de derrames y permite el uso de tapones o cubiertas, y graduación impresa para estimar volúmenes (capacidad 250ml). Apto para  esterilización en autoclave (121 °C) y resistente a la mayoría de reactivos químicos. </w:t>
            </w:r>
          </w:p>
        </w:tc>
        <w:tc>
          <w:tcPr>
            <w:tcW w:w="541" w:type="dxa"/>
            <w:shd w:val="clear" w:color="auto" w:fill="auto"/>
            <w:hideMark/>
          </w:tcPr>
          <w:p w14:paraId="0259991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12</w:t>
            </w:r>
          </w:p>
        </w:tc>
        <w:tc>
          <w:tcPr>
            <w:tcW w:w="478" w:type="dxa"/>
            <w:shd w:val="clear" w:color="auto" w:fill="auto"/>
            <w:noWrap/>
            <w:hideMark/>
          </w:tcPr>
          <w:p w14:paraId="42531A1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091BCAA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A3B512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10.700 </w:t>
            </w:r>
          </w:p>
        </w:tc>
        <w:tc>
          <w:tcPr>
            <w:tcW w:w="911" w:type="dxa"/>
            <w:shd w:val="clear" w:color="auto" w:fill="auto"/>
            <w:noWrap/>
            <w:hideMark/>
          </w:tcPr>
          <w:p w14:paraId="20A4F3C7"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128.400 </w:t>
            </w:r>
          </w:p>
        </w:tc>
      </w:tr>
      <w:tr w:rsidR="00581335" w:rsidRPr="002439C6" w14:paraId="74550C6A" w14:textId="77777777" w:rsidTr="00581335">
        <w:trPr>
          <w:trHeight w:val="2244"/>
        </w:trPr>
        <w:tc>
          <w:tcPr>
            <w:tcW w:w="348" w:type="dxa"/>
            <w:shd w:val="clear" w:color="auto" w:fill="auto"/>
            <w:noWrap/>
            <w:hideMark/>
          </w:tcPr>
          <w:p w14:paraId="7F27B48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109</w:t>
            </w:r>
          </w:p>
        </w:tc>
        <w:tc>
          <w:tcPr>
            <w:tcW w:w="1632" w:type="dxa"/>
            <w:shd w:val="clear" w:color="auto" w:fill="auto"/>
            <w:noWrap/>
            <w:hideMark/>
          </w:tcPr>
          <w:p w14:paraId="3145A1A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Matraz erlenmeyer de plástico</w:t>
            </w:r>
          </w:p>
        </w:tc>
        <w:tc>
          <w:tcPr>
            <w:tcW w:w="3283" w:type="dxa"/>
            <w:shd w:val="clear" w:color="auto" w:fill="auto"/>
            <w:hideMark/>
          </w:tcPr>
          <w:p w14:paraId="5757017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Matraz Erlenmeyer, fabricado en plipropileno de alta resistencia térmica y química, diseñado para la preparación, mezcla, calentamiento y almacenamiento temporal de soluciones en laboratorio. Presenta forma cónica con base plana que proporciona estabilidad, cuello estrecho que minimiza el riesgo de derrames y permite el uso de tapones o cubiertas, y graduación impresa para estimar volúmenes (capacidad 500ml). Apto para  esterilización en autoclave (121 °C) y resistente a la mayoría de reactivos químicos. </w:t>
            </w:r>
          </w:p>
        </w:tc>
        <w:tc>
          <w:tcPr>
            <w:tcW w:w="541" w:type="dxa"/>
            <w:shd w:val="clear" w:color="auto" w:fill="auto"/>
            <w:hideMark/>
          </w:tcPr>
          <w:p w14:paraId="3FE134B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12</w:t>
            </w:r>
          </w:p>
        </w:tc>
        <w:tc>
          <w:tcPr>
            <w:tcW w:w="478" w:type="dxa"/>
            <w:shd w:val="clear" w:color="auto" w:fill="auto"/>
            <w:noWrap/>
            <w:hideMark/>
          </w:tcPr>
          <w:p w14:paraId="3DB0003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2404E62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6AFDDAB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14.500 </w:t>
            </w:r>
          </w:p>
        </w:tc>
        <w:tc>
          <w:tcPr>
            <w:tcW w:w="911" w:type="dxa"/>
            <w:shd w:val="clear" w:color="auto" w:fill="auto"/>
            <w:noWrap/>
            <w:hideMark/>
          </w:tcPr>
          <w:p w14:paraId="27BC0D40"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174.000 </w:t>
            </w:r>
          </w:p>
        </w:tc>
      </w:tr>
      <w:tr w:rsidR="00581335" w:rsidRPr="002439C6" w14:paraId="286EA7D9" w14:textId="77777777" w:rsidTr="00581335">
        <w:trPr>
          <w:trHeight w:val="2244"/>
        </w:trPr>
        <w:tc>
          <w:tcPr>
            <w:tcW w:w="348" w:type="dxa"/>
            <w:shd w:val="clear" w:color="auto" w:fill="auto"/>
            <w:noWrap/>
            <w:hideMark/>
          </w:tcPr>
          <w:p w14:paraId="7DCA393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110</w:t>
            </w:r>
          </w:p>
        </w:tc>
        <w:tc>
          <w:tcPr>
            <w:tcW w:w="1632" w:type="dxa"/>
            <w:shd w:val="clear" w:color="auto" w:fill="auto"/>
            <w:noWrap/>
            <w:hideMark/>
          </w:tcPr>
          <w:p w14:paraId="5202C76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Matraz erlenmeyer de plástico</w:t>
            </w:r>
          </w:p>
        </w:tc>
        <w:tc>
          <w:tcPr>
            <w:tcW w:w="3283" w:type="dxa"/>
            <w:shd w:val="clear" w:color="auto" w:fill="auto"/>
            <w:hideMark/>
          </w:tcPr>
          <w:p w14:paraId="4FA7B59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Matraz Erlenmeyer, fabricado en plipropileno de alta resistencia térmica y química, diseñado para la preparación, mezcla, calentamiento y almacenamiento temporal de soluciones en laboratorio. Presenta forma cónica con base plana que proporciona estabilidad, cuello estrecho que minimiza el riesgo de derrames y permite el uso de tapones o cubiertas, y graduación impresa para estimar volúmenes (capacidad 1000ml). Apto para  esterilización en autoclave (121 °C) y resistente a la mayoría de reactivos químicos. </w:t>
            </w:r>
          </w:p>
        </w:tc>
        <w:tc>
          <w:tcPr>
            <w:tcW w:w="541" w:type="dxa"/>
            <w:shd w:val="clear" w:color="auto" w:fill="auto"/>
            <w:hideMark/>
          </w:tcPr>
          <w:p w14:paraId="6FED7A0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12</w:t>
            </w:r>
          </w:p>
        </w:tc>
        <w:tc>
          <w:tcPr>
            <w:tcW w:w="478" w:type="dxa"/>
            <w:shd w:val="clear" w:color="auto" w:fill="auto"/>
            <w:noWrap/>
            <w:hideMark/>
          </w:tcPr>
          <w:p w14:paraId="046E5BA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8BE965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629A79C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20.000 </w:t>
            </w:r>
          </w:p>
        </w:tc>
        <w:tc>
          <w:tcPr>
            <w:tcW w:w="911" w:type="dxa"/>
            <w:shd w:val="clear" w:color="auto" w:fill="auto"/>
            <w:noWrap/>
            <w:hideMark/>
          </w:tcPr>
          <w:p w14:paraId="5B3F5A0E"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240.000 </w:t>
            </w:r>
          </w:p>
        </w:tc>
      </w:tr>
      <w:tr w:rsidR="00581335" w:rsidRPr="002439C6" w14:paraId="24C90B25" w14:textId="77777777" w:rsidTr="00581335">
        <w:trPr>
          <w:trHeight w:val="2244"/>
        </w:trPr>
        <w:tc>
          <w:tcPr>
            <w:tcW w:w="348" w:type="dxa"/>
            <w:shd w:val="clear" w:color="auto" w:fill="auto"/>
            <w:noWrap/>
            <w:hideMark/>
          </w:tcPr>
          <w:p w14:paraId="382A04B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111</w:t>
            </w:r>
          </w:p>
        </w:tc>
        <w:tc>
          <w:tcPr>
            <w:tcW w:w="1632" w:type="dxa"/>
            <w:shd w:val="clear" w:color="auto" w:fill="auto"/>
            <w:noWrap/>
            <w:hideMark/>
          </w:tcPr>
          <w:p w14:paraId="3F0425B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Matraz erlenmeyer de plástico</w:t>
            </w:r>
          </w:p>
        </w:tc>
        <w:tc>
          <w:tcPr>
            <w:tcW w:w="3283" w:type="dxa"/>
            <w:shd w:val="clear" w:color="auto" w:fill="auto"/>
            <w:hideMark/>
          </w:tcPr>
          <w:p w14:paraId="1D26D42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Matraz Erlenmeyer, fabricado en plipropileno de alta resistencia térmica y química, diseñado para la preparación, mezcla, calentamiento y almacenamiento temporal de soluciones en laboratorio. Presenta forma cónica con base plana que proporciona estabilidad, cuello estrecho que minimiza el riesgo de derrames y permite el uso de tapones o cubiertas, y graduación impresa para estimar volúmenes (capacidad 2000ml). Apto para  esterilización en autoclave (121 °C) y resistente a la mayoría de reactivos químicos. </w:t>
            </w:r>
          </w:p>
        </w:tc>
        <w:tc>
          <w:tcPr>
            <w:tcW w:w="541" w:type="dxa"/>
            <w:shd w:val="clear" w:color="auto" w:fill="auto"/>
            <w:hideMark/>
          </w:tcPr>
          <w:p w14:paraId="75A51E9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3</w:t>
            </w:r>
          </w:p>
        </w:tc>
        <w:tc>
          <w:tcPr>
            <w:tcW w:w="478" w:type="dxa"/>
            <w:shd w:val="clear" w:color="auto" w:fill="auto"/>
            <w:noWrap/>
            <w:hideMark/>
          </w:tcPr>
          <w:p w14:paraId="5A92E1C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FEBF97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2ACF0FB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35.600 </w:t>
            </w:r>
          </w:p>
        </w:tc>
        <w:tc>
          <w:tcPr>
            <w:tcW w:w="911" w:type="dxa"/>
            <w:shd w:val="clear" w:color="auto" w:fill="auto"/>
            <w:noWrap/>
            <w:hideMark/>
          </w:tcPr>
          <w:p w14:paraId="649AE17B"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106.800 </w:t>
            </w:r>
          </w:p>
        </w:tc>
      </w:tr>
      <w:tr w:rsidR="00581335" w:rsidRPr="002439C6" w14:paraId="3B80CEF7" w14:textId="77777777" w:rsidTr="00581335">
        <w:trPr>
          <w:trHeight w:val="1632"/>
        </w:trPr>
        <w:tc>
          <w:tcPr>
            <w:tcW w:w="348" w:type="dxa"/>
            <w:shd w:val="clear" w:color="auto" w:fill="auto"/>
            <w:noWrap/>
            <w:hideMark/>
          </w:tcPr>
          <w:p w14:paraId="4FBD4DA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112</w:t>
            </w:r>
          </w:p>
        </w:tc>
        <w:tc>
          <w:tcPr>
            <w:tcW w:w="1632" w:type="dxa"/>
            <w:shd w:val="clear" w:color="auto" w:fill="auto"/>
            <w:noWrap/>
            <w:hideMark/>
          </w:tcPr>
          <w:p w14:paraId="2C58D6E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de plástico</w:t>
            </w:r>
          </w:p>
        </w:tc>
        <w:tc>
          <w:tcPr>
            <w:tcW w:w="3283" w:type="dxa"/>
            <w:shd w:val="clear" w:color="000000" w:fill="FFFFFF"/>
            <w:hideMark/>
          </w:tcPr>
          <w:p w14:paraId="6738866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cilindro medidor fabricado en polipropileno de alta resistencia diseñado para la medición precisa de volúmenes de líquidos en laboratorio. Presenta graduaciones impresas o moldeadas de fácil lectura, base ancha para mayor estabilidad con o sin pico vertedor. Capacidad 10 mL resistente a la mayoría de reactivos químicos y a variaciones de temperatura.</w:t>
            </w:r>
          </w:p>
        </w:tc>
        <w:tc>
          <w:tcPr>
            <w:tcW w:w="541" w:type="dxa"/>
            <w:shd w:val="clear" w:color="auto" w:fill="auto"/>
            <w:hideMark/>
          </w:tcPr>
          <w:p w14:paraId="7E89D3C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6</w:t>
            </w:r>
          </w:p>
        </w:tc>
        <w:tc>
          <w:tcPr>
            <w:tcW w:w="478" w:type="dxa"/>
            <w:shd w:val="clear" w:color="auto" w:fill="auto"/>
            <w:noWrap/>
            <w:hideMark/>
          </w:tcPr>
          <w:p w14:paraId="088E140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DA3BDF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000000" w:fill="FFFFFF"/>
            <w:noWrap/>
            <w:hideMark/>
          </w:tcPr>
          <w:p w14:paraId="1DBC848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10.150 </w:t>
            </w:r>
          </w:p>
        </w:tc>
        <w:tc>
          <w:tcPr>
            <w:tcW w:w="911" w:type="dxa"/>
            <w:shd w:val="clear" w:color="auto" w:fill="auto"/>
            <w:noWrap/>
            <w:hideMark/>
          </w:tcPr>
          <w:p w14:paraId="64340A6C"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60.900 </w:t>
            </w:r>
          </w:p>
        </w:tc>
      </w:tr>
      <w:tr w:rsidR="00581335" w:rsidRPr="002439C6" w14:paraId="204C350D" w14:textId="77777777" w:rsidTr="00581335">
        <w:trPr>
          <w:trHeight w:val="1632"/>
        </w:trPr>
        <w:tc>
          <w:tcPr>
            <w:tcW w:w="348" w:type="dxa"/>
            <w:shd w:val="clear" w:color="auto" w:fill="auto"/>
            <w:noWrap/>
            <w:hideMark/>
          </w:tcPr>
          <w:p w14:paraId="5790ABA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113</w:t>
            </w:r>
          </w:p>
        </w:tc>
        <w:tc>
          <w:tcPr>
            <w:tcW w:w="1632" w:type="dxa"/>
            <w:shd w:val="clear" w:color="auto" w:fill="auto"/>
            <w:noWrap/>
            <w:hideMark/>
          </w:tcPr>
          <w:p w14:paraId="6415076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de plástico</w:t>
            </w:r>
          </w:p>
        </w:tc>
        <w:tc>
          <w:tcPr>
            <w:tcW w:w="3283" w:type="dxa"/>
            <w:shd w:val="clear" w:color="000000" w:fill="FFFFFF"/>
            <w:hideMark/>
          </w:tcPr>
          <w:p w14:paraId="15CA7C1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cilindro medidor fabricado en polipropileno de alta resistencia diseñado para la medición precisa de volúmenes de líquidos en laboratorio. Presenta graduaciones impresas o moldeadas de 25fácil lectura, base ancha para mayor estabilidad con o sin pico vertedor. Capacidad  25mL resistente a la mayoría de reactivos químicos y a variaciones de temperatura.</w:t>
            </w:r>
          </w:p>
        </w:tc>
        <w:tc>
          <w:tcPr>
            <w:tcW w:w="541" w:type="dxa"/>
            <w:shd w:val="clear" w:color="auto" w:fill="auto"/>
            <w:hideMark/>
          </w:tcPr>
          <w:p w14:paraId="140797F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6</w:t>
            </w:r>
          </w:p>
        </w:tc>
        <w:tc>
          <w:tcPr>
            <w:tcW w:w="478" w:type="dxa"/>
            <w:shd w:val="clear" w:color="auto" w:fill="auto"/>
            <w:noWrap/>
            <w:hideMark/>
          </w:tcPr>
          <w:p w14:paraId="025D79C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5715B71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000000" w:fill="FFFFFF"/>
            <w:noWrap/>
            <w:hideMark/>
          </w:tcPr>
          <w:p w14:paraId="771DA12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11.600 </w:t>
            </w:r>
          </w:p>
        </w:tc>
        <w:tc>
          <w:tcPr>
            <w:tcW w:w="911" w:type="dxa"/>
            <w:shd w:val="clear" w:color="000000" w:fill="FFFFFF"/>
            <w:noWrap/>
            <w:hideMark/>
          </w:tcPr>
          <w:p w14:paraId="46BB7389"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69.600 </w:t>
            </w:r>
          </w:p>
        </w:tc>
      </w:tr>
      <w:tr w:rsidR="00581335" w:rsidRPr="002439C6" w14:paraId="5BAB1F95" w14:textId="77777777" w:rsidTr="00581335">
        <w:trPr>
          <w:trHeight w:val="1632"/>
        </w:trPr>
        <w:tc>
          <w:tcPr>
            <w:tcW w:w="348" w:type="dxa"/>
            <w:shd w:val="clear" w:color="auto" w:fill="auto"/>
            <w:noWrap/>
            <w:hideMark/>
          </w:tcPr>
          <w:p w14:paraId="269BE4E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114</w:t>
            </w:r>
          </w:p>
        </w:tc>
        <w:tc>
          <w:tcPr>
            <w:tcW w:w="1632" w:type="dxa"/>
            <w:shd w:val="clear" w:color="auto" w:fill="auto"/>
            <w:noWrap/>
            <w:hideMark/>
          </w:tcPr>
          <w:p w14:paraId="45A8453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de plástico</w:t>
            </w:r>
          </w:p>
        </w:tc>
        <w:tc>
          <w:tcPr>
            <w:tcW w:w="3283" w:type="dxa"/>
            <w:shd w:val="clear" w:color="auto" w:fill="auto"/>
            <w:hideMark/>
          </w:tcPr>
          <w:p w14:paraId="6373E84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cilindro medidor fabricado en polipropileno de alta resistencia diseñado para la medición precisa de volúmenes de líquidos en laboratorio. Presenta graduaciones impresas o moldeadas de fácil lectura, base ancha para mayor estabilidad con o sin pico vertedor. Capacidad  50mL resistente a la mayoría de reactivos químicos y a variaciones de temperatura.</w:t>
            </w:r>
          </w:p>
        </w:tc>
        <w:tc>
          <w:tcPr>
            <w:tcW w:w="541" w:type="dxa"/>
            <w:shd w:val="clear" w:color="auto" w:fill="auto"/>
            <w:hideMark/>
          </w:tcPr>
          <w:p w14:paraId="70A3E14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6</w:t>
            </w:r>
          </w:p>
        </w:tc>
        <w:tc>
          <w:tcPr>
            <w:tcW w:w="478" w:type="dxa"/>
            <w:shd w:val="clear" w:color="auto" w:fill="auto"/>
            <w:noWrap/>
            <w:hideMark/>
          </w:tcPr>
          <w:p w14:paraId="5A077FE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6CC2591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76E1C76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15.650 </w:t>
            </w:r>
          </w:p>
        </w:tc>
        <w:tc>
          <w:tcPr>
            <w:tcW w:w="911" w:type="dxa"/>
            <w:shd w:val="clear" w:color="000000" w:fill="FFFFFF"/>
            <w:noWrap/>
            <w:hideMark/>
          </w:tcPr>
          <w:p w14:paraId="4EACF11F"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93.900 </w:t>
            </w:r>
          </w:p>
        </w:tc>
      </w:tr>
      <w:tr w:rsidR="00581335" w:rsidRPr="002439C6" w14:paraId="4DAC58FA" w14:textId="77777777" w:rsidTr="00581335">
        <w:trPr>
          <w:trHeight w:val="1632"/>
        </w:trPr>
        <w:tc>
          <w:tcPr>
            <w:tcW w:w="348" w:type="dxa"/>
            <w:shd w:val="clear" w:color="auto" w:fill="auto"/>
            <w:noWrap/>
            <w:hideMark/>
          </w:tcPr>
          <w:p w14:paraId="4EE7717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115</w:t>
            </w:r>
          </w:p>
        </w:tc>
        <w:tc>
          <w:tcPr>
            <w:tcW w:w="1632" w:type="dxa"/>
            <w:shd w:val="clear" w:color="auto" w:fill="auto"/>
            <w:noWrap/>
            <w:hideMark/>
          </w:tcPr>
          <w:p w14:paraId="1FF9CAD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de plástico</w:t>
            </w:r>
          </w:p>
        </w:tc>
        <w:tc>
          <w:tcPr>
            <w:tcW w:w="3283" w:type="dxa"/>
            <w:shd w:val="clear" w:color="auto" w:fill="auto"/>
            <w:hideMark/>
          </w:tcPr>
          <w:p w14:paraId="4CE83CD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cilindro medidor fabricado en polipropileno de alta resistencia diseñado para la medición precisa de volúmenes de líquidos en laboratorio. Presenta graduaciones impresas o moldeadas de fácil lectura, base ancha para mayor estabilidad con o sin pico vertedor. Capacidad  100mL resistente a la mayoría de reactivos químicos y a variaciones de temperatura.</w:t>
            </w:r>
          </w:p>
        </w:tc>
        <w:tc>
          <w:tcPr>
            <w:tcW w:w="541" w:type="dxa"/>
            <w:shd w:val="clear" w:color="auto" w:fill="auto"/>
            <w:hideMark/>
          </w:tcPr>
          <w:p w14:paraId="047261D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6</w:t>
            </w:r>
          </w:p>
        </w:tc>
        <w:tc>
          <w:tcPr>
            <w:tcW w:w="478" w:type="dxa"/>
            <w:shd w:val="clear" w:color="auto" w:fill="auto"/>
            <w:noWrap/>
            <w:hideMark/>
          </w:tcPr>
          <w:p w14:paraId="332134C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BF17EF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1A9FD18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18.850 </w:t>
            </w:r>
          </w:p>
        </w:tc>
        <w:tc>
          <w:tcPr>
            <w:tcW w:w="911" w:type="dxa"/>
            <w:shd w:val="clear" w:color="000000" w:fill="FFFFFF"/>
            <w:noWrap/>
            <w:hideMark/>
          </w:tcPr>
          <w:p w14:paraId="0036B437"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113.100 </w:t>
            </w:r>
          </w:p>
        </w:tc>
      </w:tr>
      <w:tr w:rsidR="00581335" w:rsidRPr="002439C6" w14:paraId="1FE7A255" w14:textId="77777777" w:rsidTr="00581335">
        <w:trPr>
          <w:trHeight w:val="1632"/>
        </w:trPr>
        <w:tc>
          <w:tcPr>
            <w:tcW w:w="348" w:type="dxa"/>
            <w:shd w:val="clear" w:color="auto" w:fill="auto"/>
            <w:noWrap/>
            <w:hideMark/>
          </w:tcPr>
          <w:p w14:paraId="67DE551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116</w:t>
            </w:r>
          </w:p>
        </w:tc>
        <w:tc>
          <w:tcPr>
            <w:tcW w:w="1632" w:type="dxa"/>
            <w:shd w:val="clear" w:color="auto" w:fill="auto"/>
            <w:noWrap/>
            <w:hideMark/>
          </w:tcPr>
          <w:p w14:paraId="577385F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de plástico</w:t>
            </w:r>
          </w:p>
        </w:tc>
        <w:tc>
          <w:tcPr>
            <w:tcW w:w="3283" w:type="dxa"/>
            <w:shd w:val="clear" w:color="auto" w:fill="auto"/>
            <w:hideMark/>
          </w:tcPr>
          <w:p w14:paraId="05E7EF9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cilindro medidor fabricado en polipropileno de alta resistencia diseñado para la medición precisa de volúmenes de líquidos en laboratorio. Presenta graduaciones impresas o moldeadas de fácil lectura, base ancha para mayor estabilidad con o sin pico vertedor. Capacidad  250mL resistente a la mayoría de reactivos químicos y a variaciones de temperatura.</w:t>
            </w:r>
          </w:p>
        </w:tc>
        <w:tc>
          <w:tcPr>
            <w:tcW w:w="541" w:type="dxa"/>
            <w:shd w:val="clear" w:color="auto" w:fill="auto"/>
            <w:hideMark/>
          </w:tcPr>
          <w:p w14:paraId="2DDF1B9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4</w:t>
            </w:r>
          </w:p>
        </w:tc>
        <w:tc>
          <w:tcPr>
            <w:tcW w:w="478" w:type="dxa"/>
            <w:shd w:val="clear" w:color="auto" w:fill="auto"/>
            <w:noWrap/>
            <w:hideMark/>
          </w:tcPr>
          <w:p w14:paraId="63316DD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7A503EC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7385386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31.250 </w:t>
            </w:r>
          </w:p>
        </w:tc>
        <w:tc>
          <w:tcPr>
            <w:tcW w:w="911" w:type="dxa"/>
            <w:shd w:val="clear" w:color="000000" w:fill="FFFFFF"/>
            <w:noWrap/>
            <w:hideMark/>
          </w:tcPr>
          <w:p w14:paraId="58D2893C"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125.000 </w:t>
            </w:r>
          </w:p>
        </w:tc>
      </w:tr>
      <w:tr w:rsidR="00581335" w:rsidRPr="002439C6" w14:paraId="2B2948D5" w14:textId="77777777" w:rsidTr="00581335">
        <w:trPr>
          <w:trHeight w:val="1632"/>
        </w:trPr>
        <w:tc>
          <w:tcPr>
            <w:tcW w:w="348" w:type="dxa"/>
            <w:shd w:val="clear" w:color="auto" w:fill="auto"/>
            <w:noWrap/>
            <w:hideMark/>
          </w:tcPr>
          <w:p w14:paraId="144B611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117</w:t>
            </w:r>
          </w:p>
        </w:tc>
        <w:tc>
          <w:tcPr>
            <w:tcW w:w="1632" w:type="dxa"/>
            <w:shd w:val="clear" w:color="auto" w:fill="auto"/>
            <w:noWrap/>
            <w:hideMark/>
          </w:tcPr>
          <w:p w14:paraId="2AD74F8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de plástico</w:t>
            </w:r>
          </w:p>
        </w:tc>
        <w:tc>
          <w:tcPr>
            <w:tcW w:w="3283" w:type="dxa"/>
            <w:shd w:val="clear" w:color="auto" w:fill="auto"/>
            <w:hideMark/>
          </w:tcPr>
          <w:p w14:paraId="2113723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cilindro medidor fabricado en polipropileno de alta resistencia diseñado para la medición precisa de volúmenes de líquidos en laboratorio. Presenta graduaciones impresas o moldeadas de fácil lectura, base ancha para mayor estabilidad con o sin pico vertedor. Capacidad  500mL resistente a la mayoría de reactivos químicos y a variaciones de temperatura.</w:t>
            </w:r>
          </w:p>
        </w:tc>
        <w:tc>
          <w:tcPr>
            <w:tcW w:w="541" w:type="dxa"/>
            <w:shd w:val="clear" w:color="auto" w:fill="auto"/>
            <w:hideMark/>
          </w:tcPr>
          <w:p w14:paraId="0210B4D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4</w:t>
            </w:r>
          </w:p>
        </w:tc>
        <w:tc>
          <w:tcPr>
            <w:tcW w:w="478" w:type="dxa"/>
            <w:shd w:val="clear" w:color="auto" w:fill="auto"/>
            <w:noWrap/>
            <w:hideMark/>
          </w:tcPr>
          <w:p w14:paraId="55F588C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78DCFE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266DC0F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60.750 </w:t>
            </w:r>
          </w:p>
        </w:tc>
        <w:tc>
          <w:tcPr>
            <w:tcW w:w="911" w:type="dxa"/>
            <w:shd w:val="clear" w:color="000000" w:fill="FFFFFF"/>
            <w:noWrap/>
            <w:hideMark/>
          </w:tcPr>
          <w:p w14:paraId="5B8F7FDE"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243.000 </w:t>
            </w:r>
          </w:p>
        </w:tc>
      </w:tr>
      <w:tr w:rsidR="00581335" w:rsidRPr="002439C6" w14:paraId="31ECFB8D" w14:textId="77777777" w:rsidTr="00581335">
        <w:trPr>
          <w:trHeight w:val="1632"/>
        </w:trPr>
        <w:tc>
          <w:tcPr>
            <w:tcW w:w="348" w:type="dxa"/>
            <w:shd w:val="clear" w:color="auto" w:fill="auto"/>
            <w:noWrap/>
            <w:hideMark/>
          </w:tcPr>
          <w:p w14:paraId="69DBDD6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118</w:t>
            </w:r>
          </w:p>
        </w:tc>
        <w:tc>
          <w:tcPr>
            <w:tcW w:w="1632" w:type="dxa"/>
            <w:shd w:val="clear" w:color="auto" w:fill="auto"/>
            <w:noWrap/>
            <w:hideMark/>
          </w:tcPr>
          <w:p w14:paraId="32C9CA4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de plástico</w:t>
            </w:r>
          </w:p>
        </w:tc>
        <w:tc>
          <w:tcPr>
            <w:tcW w:w="3283" w:type="dxa"/>
            <w:shd w:val="clear" w:color="auto" w:fill="auto"/>
            <w:hideMark/>
          </w:tcPr>
          <w:p w14:paraId="0262DEE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cilindro medidor fabricado en polipropileno de alta resistencia diseñado para la medición precisa de volúmenes de líquidos en laboratorio. Presenta graduaciones impresas o moldeadas de fácil lectura, base ancha para mayor estabilidad con o sin pico vertedor. Capacidad  1000mL resistente a la mayoría de reactivos químicos y a variaciones de temperatura.</w:t>
            </w:r>
          </w:p>
        </w:tc>
        <w:tc>
          <w:tcPr>
            <w:tcW w:w="541" w:type="dxa"/>
            <w:shd w:val="clear" w:color="auto" w:fill="auto"/>
            <w:hideMark/>
          </w:tcPr>
          <w:p w14:paraId="260E82E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3</w:t>
            </w:r>
          </w:p>
        </w:tc>
        <w:tc>
          <w:tcPr>
            <w:tcW w:w="478" w:type="dxa"/>
            <w:shd w:val="clear" w:color="auto" w:fill="auto"/>
            <w:noWrap/>
            <w:hideMark/>
          </w:tcPr>
          <w:p w14:paraId="15C0FE9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27F2A39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227ACA6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72.100 </w:t>
            </w:r>
          </w:p>
        </w:tc>
        <w:tc>
          <w:tcPr>
            <w:tcW w:w="911" w:type="dxa"/>
            <w:shd w:val="clear" w:color="000000" w:fill="FFFFFF"/>
            <w:noWrap/>
            <w:hideMark/>
          </w:tcPr>
          <w:p w14:paraId="5BB460A8"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216.300 </w:t>
            </w:r>
          </w:p>
        </w:tc>
      </w:tr>
      <w:tr w:rsidR="00581335" w:rsidRPr="002439C6" w14:paraId="5E27EDD6" w14:textId="77777777" w:rsidTr="00581335">
        <w:trPr>
          <w:trHeight w:val="1632"/>
        </w:trPr>
        <w:tc>
          <w:tcPr>
            <w:tcW w:w="348" w:type="dxa"/>
            <w:shd w:val="clear" w:color="auto" w:fill="auto"/>
            <w:noWrap/>
            <w:hideMark/>
          </w:tcPr>
          <w:p w14:paraId="6B7B26F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119</w:t>
            </w:r>
          </w:p>
        </w:tc>
        <w:tc>
          <w:tcPr>
            <w:tcW w:w="1632" w:type="dxa"/>
            <w:shd w:val="clear" w:color="auto" w:fill="auto"/>
            <w:noWrap/>
            <w:hideMark/>
          </w:tcPr>
          <w:p w14:paraId="6E939EC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de plástico</w:t>
            </w:r>
          </w:p>
        </w:tc>
        <w:tc>
          <w:tcPr>
            <w:tcW w:w="3283" w:type="dxa"/>
            <w:shd w:val="clear" w:color="auto" w:fill="auto"/>
            <w:hideMark/>
          </w:tcPr>
          <w:p w14:paraId="303F6DF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Probeta graduada, cilindro medidor fabricado en polipropileno de alta resistencia diseñado para la medición precisa de volúmenes de líquidos en laboratorio. Presenta graduaciones impresas o moldeadas de fácil lectura, base ancha para mayor estabilidad con o sin pico vertedor. Capacidad  2000mL resistente a la mayoría de reactivos químicos y a variaciones de temperatura.</w:t>
            </w:r>
          </w:p>
        </w:tc>
        <w:tc>
          <w:tcPr>
            <w:tcW w:w="541" w:type="dxa"/>
            <w:shd w:val="clear" w:color="auto" w:fill="auto"/>
            <w:hideMark/>
          </w:tcPr>
          <w:p w14:paraId="0C6B958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1654E16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5157A8B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2AF1850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114.000 </w:t>
            </w:r>
          </w:p>
        </w:tc>
        <w:tc>
          <w:tcPr>
            <w:tcW w:w="911" w:type="dxa"/>
            <w:shd w:val="clear" w:color="000000" w:fill="FFFFFF"/>
            <w:noWrap/>
            <w:hideMark/>
          </w:tcPr>
          <w:p w14:paraId="0E89F926"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228.000 </w:t>
            </w:r>
          </w:p>
        </w:tc>
      </w:tr>
      <w:tr w:rsidR="00581335" w:rsidRPr="002439C6" w14:paraId="02AA8920" w14:textId="77777777" w:rsidTr="00581335">
        <w:trPr>
          <w:trHeight w:val="2652"/>
        </w:trPr>
        <w:tc>
          <w:tcPr>
            <w:tcW w:w="348" w:type="dxa"/>
            <w:shd w:val="clear" w:color="auto" w:fill="auto"/>
            <w:noWrap/>
            <w:hideMark/>
          </w:tcPr>
          <w:p w14:paraId="3CDC0C1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120</w:t>
            </w:r>
          </w:p>
        </w:tc>
        <w:tc>
          <w:tcPr>
            <w:tcW w:w="1632" w:type="dxa"/>
            <w:shd w:val="clear" w:color="auto" w:fill="auto"/>
            <w:noWrap/>
            <w:hideMark/>
          </w:tcPr>
          <w:p w14:paraId="60C80CD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Gradillas para tubos de 10 ml</w:t>
            </w:r>
          </w:p>
        </w:tc>
        <w:tc>
          <w:tcPr>
            <w:tcW w:w="3283" w:type="dxa"/>
            <w:shd w:val="clear" w:color="auto" w:fill="auto"/>
            <w:hideMark/>
          </w:tcPr>
          <w:p w14:paraId="75A283E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Gradillas metálicas para 24 tubos de 10 mL, fabricadas en acero inoxidable o metal con recubrimiento resistente a la corrosión, diseñadas para el soporte, organización y transporte seguro de tubos de ensayo en laboratorio. Presentan estructura rígida y perforaciones con diámetro adecuado para sostener firmemente tubos de 10 mL, manteniéndolos en posición vertical para evitar derrames y facilitar su manipulación. Son resistentes a la acción de reactivos químicos comunes y a altas temperaturas, lo que permite su esterilización en autoclave.</w:t>
            </w:r>
          </w:p>
        </w:tc>
        <w:tc>
          <w:tcPr>
            <w:tcW w:w="541" w:type="dxa"/>
            <w:shd w:val="clear" w:color="auto" w:fill="auto"/>
            <w:hideMark/>
          </w:tcPr>
          <w:p w14:paraId="76AC0EC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41C0203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02A1C1A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128F7A1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213.000 </w:t>
            </w:r>
          </w:p>
        </w:tc>
        <w:tc>
          <w:tcPr>
            <w:tcW w:w="911" w:type="dxa"/>
            <w:shd w:val="clear" w:color="000000" w:fill="FFFFFF"/>
            <w:noWrap/>
            <w:hideMark/>
          </w:tcPr>
          <w:p w14:paraId="254C7ED5"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426.000 </w:t>
            </w:r>
          </w:p>
        </w:tc>
      </w:tr>
      <w:tr w:rsidR="00581335" w:rsidRPr="002439C6" w14:paraId="4C99F154" w14:textId="77777777" w:rsidTr="00581335">
        <w:trPr>
          <w:trHeight w:val="2244"/>
        </w:trPr>
        <w:tc>
          <w:tcPr>
            <w:tcW w:w="348" w:type="dxa"/>
            <w:shd w:val="clear" w:color="auto" w:fill="auto"/>
            <w:noWrap/>
            <w:hideMark/>
          </w:tcPr>
          <w:p w14:paraId="635B38A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121</w:t>
            </w:r>
          </w:p>
        </w:tc>
        <w:tc>
          <w:tcPr>
            <w:tcW w:w="1632" w:type="dxa"/>
            <w:shd w:val="clear" w:color="auto" w:fill="auto"/>
            <w:noWrap/>
            <w:hideMark/>
          </w:tcPr>
          <w:p w14:paraId="3D989EE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Gradillas para tubos de 10 ml</w:t>
            </w:r>
          </w:p>
        </w:tc>
        <w:tc>
          <w:tcPr>
            <w:tcW w:w="3283" w:type="dxa"/>
            <w:shd w:val="clear" w:color="auto" w:fill="auto"/>
            <w:hideMark/>
          </w:tcPr>
          <w:p w14:paraId="2315050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Gradillas de plástico para 24 tubos de 10 mL, fabricadas en polipropileno resistente a impactos, a la corrosión y a la mayoría de reactivos químicos, diseñadas para sostener, organizar y transportar de forma segura tubos de ensayo de 10 mL en posición vertical. Presentan orificios con diámetro ajustado para un soporte firme, estructura ligera y estable, y superficie lisa que facilita su limpieza. Son apilables para optimizar el espacio de almacenamiento y pueden esterilizarse en autoclave (121 °C) sin deformarse</w:t>
            </w:r>
          </w:p>
        </w:tc>
        <w:tc>
          <w:tcPr>
            <w:tcW w:w="541" w:type="dxa"/>
            <w:shd w:val="clear" w:color="auto" w:fill="auto"/>
            <w:hideMark/>
          </w:tcPr>
          <w:p w14:paraId="786E696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3ECDA2E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71EF4AB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4121D4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42.500 </w:t>
            </w:r>
          </w:p>
        </w:tc>
        <w:tc>
          <w:tcPr>
            <w:tcW w:w="911" w:type="dxa"/>
            <w:shd w:val="clear" w:color="000000" w:fill="FFFFFF"/>
            <w:noWrap/>
            <w:hideMark/>
          </w:tcPr>
          <w:p w14:paraId="45FB1679"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85.000 </w:t>
            </w:r>
          </w:p>
        </w:tc>
      </w:tr>
      <w:tr w:rsidR="00581335" w:rsidRPr="002439C6" w14:paraId="1FEFE5A9" w14:textId="77777777" w:rsidTr="00581335">
        <w:trPr>
          <w:trHeight w:val="2652"/>
        </w:trPr>
        <w:tc>
          <w:tcPr>
            <w:tcW w:w="348" w:type="dxa"/>
            <w:shd w:val="clear" w:color="auto" w:fill="auto"/>
            <w:noWrap/>
            <w:hideMark/>
          </w:tcPr>
          <w:p w14:paraId="48CC076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122</w:t>
            </w:r>
          </w:p>
        </w:tc>
        <w:tc>
          <w:tcPr>
            <w:tcW w:w="1632" w:type="dxa"/>
            <w:shd w:val="clear" w:color="auto" w:fill="auto"/>
            <w:noWrap/>
            <w:hideMark/>
          </w:tcPr>
          <w:p w14:paraId="56448C6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Gradillas para tubos de 15 ml</w:t>
            </w:r>
          </w:p>
        </w:tc>
        <w:tc>
          <w:tcPr>
            <w:tcW w:w="3283" w:type="dxa"/>
            <w:shd w:val="clear" w:color="auto" w:fill="auto"/>
            <w:hideMark/>
          </w:tcPr>
          <w:p w14:paraId="1ECB15A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Gradillas metálicas para 24 tubos de 15 mL, fabricadas en acero inoxidable o metal con recubrimiento resistente a la corrosión, diseñadas para el soporte, organización y transporte seguro de tubos de ensayo en laboratorio. Presentan estructura rígida y perforaciones con diámetro adecuado para sostener firmemente tubos de 15 mL, manteniéndolos en posición vertical para evitar derrames y facilitar su manipulación. Son resistentes a la acción de reactivos químicos comunes y a altas temperaturas, lo que permite su esterilización en autoclave.</w:t>
            </w:r>
          </w:p>
        </w:tc>
        <w:tc>
          <w:tcPr>
            <w:tcW w:w="541" w:type="dxa"/>
            <w:shd w:val="clear" w:color="auto" w:fill="auto"/>
            <w:hideMark/>
          </w:tcPr>
          <w:p w14:paraId="700B418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7ADE7E6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4A55BC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16BF2AC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213.000 </w:t>
            </w:r>
          </w:p>
        </w:tc>
        <w:tc>
          <w:tcPr>
            <w:tcW w:w="911" w:type="dxa"/>
            <w:shd w:val="clear" w:color="000000" w:fill="FFFFFF"/>
            <w:noWrap/>
            <w:hideMark/>
          </w:tcPr>
          <w:p w14:paraId="3ED8D854"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426.000 </w:t>
            </w:r>
          </w:p>
        </w:tc>
      </w:tr>
      <w:tr w:rsidR="00581335" w:rsidRPr="002439C6" w14:paraId="1EBF79E3" w14:textId="77777777" w:rsidTr="00581335">
        <w:trPr>
          <w:trHeight w:val="2244"/>
        </w:trPr>
        <w:tc>
          <w:tcPr>
            <w:tcW w:w="348" w:type="dxa"/>
            <w:shd w:val="clear" w:color="auto" w:fill="auto"/>
            <w:noWrap/>
            <w:hideMark/>
          </w:tcPr>
          <w:p w14:paraId="514A416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123</w:t>
            </w:r>
          </w:p>
        </w:tc>
        <w:tc>
          <w:tcPr>
            <w:tcW w:w="1632" w:type="dxa"/>
            <w:shd w:val="clear" w:color="auto" w:fill="auto"/>
            <w:noWrap/>
            <w:hideMark/>
          </w:tcPr>
          <w:p w14:paraId="28BB474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Gradillas para tubos de 15 ml</w:t>
            </w:r>
          </w:p>
        </w:tc>
        <w:tc>
          <w:tcPr>
            <w:tcW w:w="3283" w:type="dxa"/>
            <w:shd w:val="clear" w:color="auto" w:fill="auto"/>
            <w:hideMark/>
          </w:tcPr>
          <w:p w14:paraId="33A9961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Gradillas de plástico para 24 tubos de 15 mL, fabricadas en polipropileno resistente a impactos, a la corrosión y a la mayoría de reactivos químicos, diseñadas para sostener, organizar y transportar de forma segura tubos de ensayo de 15 mL en posición vertical. Presentan orificios con diámetro ajustado para un soporte firme, estructura ligera y estable, y superficie lisa que facilita su limpieza. Son apilables para optimizar el espacio de almacenamiento y pueden esterilizarse en autoclave (121 °C) sin deformarse</w:t>
            </w:r>
          </w:p>
        </w:tc>
        <w:tc>
          <w:tcPr>
            <w:tcW w:w="541" w:type="dxa"/>
            <w:shd w:val="clear" w:color="auto" w:fill="auto"/>
            <w:hideMark/>
          </w:tcPr>
          <w:p w14:paraId="0BEF54B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77917C9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2366A39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339E00B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57.000 </w:t>
            </w:r>
          </w:p>
        </w:tc>
        <w:tc>
          <w:tcPr>
            <w:tcW w:w="911" w:type="dxa"/>
            <w:shd w:val="clear" w:color="000000" w:fill="FFFFFF"/>
            <w:noWrap/>
            <w:hideMark/>
          </w:tcPr>
          <w:p w14:paraId="4F8E3CCE"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114.000 </w:t>
            </w:r>
          </w:p>
        </w:tc>
      </w:tr>
      <w:tr w:rsidR="00581335" w:rsidRPr="002439C6" w14:paraId="76F4D0B0" w14:textId="77777777" w:rsidTr="00581335">
        <w:trPr>
          <w:trHeight w:val="2244"/>
        </w:trPr>
        <w:tc>
          <w:tcPr>
            <w:tcW w:w="348" w:type="dxa"/>
            <w:shd w:val="clear" w:color="auto" w:fill="auto"/>
            <w:noWrap/>
            <w:hideMark/>
          </w:tcPr>
          <w:p w14:paraId="32B3C52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124</w:t>
            </w:r>
          </w:p>
        </w:tc>
        <w:tc>
          <w:tcPr>
            <w:tcW w:w="1632" w:type="dxa"/>
            <w:shd w:val="clear" w:color="auto" w:fill="auto"/>
            <w:noWrap/>
            <w:hideMark/>
          </w:tcPr>
          <w:p w14:paraId="359EE17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Gradillas para tubos de 50 ml</w:t>
            </w:r>
          </w:p>
        </w:tc>
        <w:tc>
          <w:tcPr>
            <w:tcW w:w="3283" w:type="dxa"/>
            <w:shd w:val="clear" w:color="auto" w:fill="auto"/>
            <w:hideMark/>
          </w:tcPr>
          <w:p w14:paraId="2B3BDDC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Gradillas de plástico para tubos de 50 mL, fabricadas en polipropileno resistente a impactos, a la corrosión y a la mayoría de reactivos químicos, diseñadas para sostener, organizar y transportar de forma segura tubos de ensayo de 50 mL en posición vertical. Presentan orificios con diámetro ajustado para un soporte firme, estructura ligera y estable, y superficie lisa que facilita su limpieza. Son apilables para optimizar el espacio de almacenamiento y pueden esterilizarse en autoclave (121 °C) sin deformarse</w:t>
            </w:r>
          </w:p>
        </w:tc>
        <w:tc>
          <w:tcPr>
            <w:tcW w:w="541" w:type="dxa"/>
            <w:shd w:val="clear" w:color="auto" w:fill="auto"/>
            <w:hideMark/>
          </w:tcPr>
          <w:p w14:paraId="32B815C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5B2932A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568876E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4C462DA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57.500 </w:t>
            </w:r>
          </w:p>
        </w:tc>
        <w:tc>
          <w:tcPr>
            <w:tcW w:w="911" w:type="dxa"/>
            <w:shd w:val="clear" w:color="000000" w:fill="FFFFFF"/>
            <w:noWrap/>
            <w:hideMark/>
          </w:tcPr>
          <w:p w14:paraId="3B52EA57"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115.000 </w:t>
            </w:r>
          </w:p>
        </w:tc>
      </w:tr>
      <w:tr w:rsidR="00581335" w:rsidRPr="002439C6" w14:paraId="7D8F7A92" w14:textId="77777777" w:rsidTr="00581335">
        <w:trPr>
          <w:trHeight w:val="2448"/>
        </w:trPr>
        <w:tc>
          <w:tcPr>
            <w:tcW w:w="348" w:type="dxa"/>
            <w:shd w:val="clear" w:color="auto" w:fill="auto"/>
            <w:noWrap/>
            <w:hideMark/>
          </w:tcPr>
          <w:p w14:paraId="28F6DBE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125</w:t>
            </w:r>
          </w:p>
        </w:tc>
        <w:tc>
          <w:tcPr>
            <w:tcW w:w="1632" w:type="dxa"/>
            <w:shd w:val="clear" w:color="auto" w:fill="auto"/>
            <w:noWrap/>
            <w:hideMark/>
          </w:tcPr>
          <w:p w14:paraId="215F49B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Gradillas para microtubos</w:t>
            </w:r>
          </w:p>
        </w:tc>
        <w:tc>
          <w:tcPr>
            <w:tcW w:w="3283" w:type="dxa"/>
            <w:shd w:val="clear" w:color="auto" w:fill="auto"/>
            <w:hideMark/>
          </w:tcPr>
          <w:p w14:paraId="5F9CDE8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Gradillas para tubos de 1,5 y 2,0 mL, fabricadas en plástico de alta resistencia química y mecánica, diseñadas para sostener y organizar microtubos de microcentrífuga de forma estable y segura durante su manipulación. Presentan orificios con diámetro preciso para un ajuste firme, manteniendo los tubos en posición vertical y evitando derrames o movimientos durante la carga y descarga de muestras. Son ligeras, apilables y de fácil limpieza, resistentes a la mayoría de reactivos químicos y aptas para esterilización en autoclave (121 °C). para 60 u 80 tubos, con tapa</w:t>
            </w:r>
          </w:p>
        </w:tc>
        <w:tc>
          <w:tcPr>
            <w:tcW w:w="541" w:type="dxa"/>
            <w:shd w:val="clear" w:color="auto" w:fill="auto"/>
            <w:hideMark/>
          </w:tcPr>
          <w:p w14:paraId="2011DF7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68B602A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2990FCF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3A4554F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116.000 </w:t>
            </w:r>
          </w:p>
        </w:tc>
        <w:tc>
          <w:tcPr>
            <w:tcW w:w="911" w:type="dxa"/>
            <w:shd w:val="clear" w:color="000000" w:fill="FFFFFF"/>
            <w:noWrap/>
            <w:hideMark/>
          </w:tcPr>
          <w:p w14:paraId="10D95B47"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232.000 </w:t>
            </w:r>
          </w:p>
        </w:tc>
      </w:tr>
      <w:tr w:rsidR="00581335" w:rsidRPr="002439C6" w14:paraId="58505E20" w14:textId="77777777" w:rsidTr="00581335">
        <w:trPr>
          <w:trHeight w:val="2244"/>
        </w:trPr>
        <w:tc>
          <w:tcPr>
            <w:tcW w:w="348" w:type="dxa"/>
            <w:shd w:val="clear" w:color="auto" w:fill="auto"/>
            <w:noWrap/>
            <w:hideMark/>
          </w:tcPr>
          <w:p w14:paraId="045E33B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126</w:t>
            </w:r>
          </w:p>
        </w:tc>
        <w:tc>
          <w:tcPr>
            <w:tcW w:w="1632" w:type="dxa"/>
            <w:shd w:val="clear" w:color="auto" w:fill="auto"/>
            <w:noWrap/>
            <w:hideMark/>
          </w:tcPr>
          <w:p w14:paraId="2CF1E27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Gradillas para microtubos para PCR</w:t>
            </w:r>
          </w:p>
        </w:tc>
        <w:tc>
          <w:tcPr>
            <w:tcW w:w="3283" w:type="dxa"/>
            <w:shd w:val="clear" w:color="auto" w:fill="auto"/>
            <w:hideMark/>
          </w:tcPr>
          <w:p w14:paraId="568AE9C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 Gradilla para tubos de PCR, fabricada en plástico de alta resistencia térmica y química, diseñada para sostener de forma segura tubos de 0,1 mL, 0,2 mL y tiras de tubos utilizados en PCR convencional o en tiempo real. Presenta orificios con diámetro preciso que mantienen los tubos en posición estable, evitando derrames y facilitando la manipulación durante la preparación de reacciones. Es ligera, fácil de limpiar y resistente a la mayoría de reactivos químicos, además de ser apta para esterilización en autoclave (121 °C).</w:t>
            </w:r>
          </w:p>
        </w:tc>
        <w:tc>
          <w:tcPr>
            <w:tcW w:w="541" w:type="dxa"/>
            <w:shd w:val="clear" w:color="auto" w:fill="auto"/>
            <w:hideMark/>
          </w:tcPr>
          <w:p w14:paraId="2A36F6E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4</w:t>
            </w:r>
          </w:p>
        </w:tc>
        <w:tc>
          <w:tcPr>
            <w:tcW w:w="478" w:type="dxa"/>
            <w:shd w:val="clear" w:color="auto" w:fill="auto"/>
            <w:noWrap/>
            <w:hideMark/>
          </w:tcPr>
          <w:p w14:paraId="19AB72B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615D563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54C12D2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85.000 </w:t>
            </w:r>
          </w:p>
        </w:tc>
        <w:tc>
          <w:tcPr>
            <w:tcW w:w="911" w:type="dxa"/>
            <w:shd w:val="clear" w:color="000000" w:fill="FFFFFF"/>
            <w:noWrap/>
            <w:hideMark/>
          </w:tcPr>
          <w:p w14:paraId="11ED5130"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340.000 </w:t>
            </w:r>
          </w:p>
        </w:tc>
      </w:tr>
      <w:tr w:rsidR="00581335" w:rsidRPr="002439C6" w14:paraId="617D554B" w14:textId="77777777" w:rsidTr="00581335">
        <w:trPr>
          <w:trHeight w:val="3264"/>
        </w:trPr>
        <w:tc>
          <w:tcPr>
            <w:tcW w:w="348" w:type="dxa"/>
            <w:shd w:val="clear" w:color="auto" w:fill="auto"/>
            <w:noWrap/>
            <w:hideMark/>
          </w:tcPr>
          <w:p w14:paraId="1E37DA9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127</w:t>
            </w:r>
          </w:p>
        </w:tc>
        <w:tc>
          <w:tcPr>
            <w:tcW w:w="1632" w:type="dxa"/>
            <w:shd w:val="clear" w:color="auto" w:fill="auto"/>
            <w:hideMark/>
          </w:tcPr>
          <w:p w14:paraId="5FCA0BC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Caja de almacenamiento para tubos de 1,5 a 2 ml</w:t>
            </w:r>
          </w:p>
        </w:tc>
        <w:tc>
          <w:tcPr>
            <w:tcW w:w="3283" w:type="dxa"/>
            <w:shd w:val="clear" w:color="auto" w:fill="auto"/>
            <w:hideMark/>
          </w:tcPr>
          <w:p w14:paraId="6532B63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Caja de almacenamiento para tubos de 1,5 a 2,0 mL, fabricada en plástico de alta resistencia química y mecánica, diseñada para organizar y proteger microtubos de microcentrífuga durante su almacenamiento o transporte. Presenta compartimentos con diámetro ajustado para un encaje firme, evitando el movimiento de los tubos y minimizando el riesgo de derrames o contaminación. La tapa abatible o removible proporciona un cierre seguro, protegiendo el contenido de polvo y humedad. Puede incluir codificación por colores, numeración o cuadrícula interna para la identificación rápida de las muestras. Es resistente a temperaturas de congelación y apta para esterilización en autoclave (121 °C), capacidad de 100 tubos.</w:t>
            </w:r>
          </w:p>
        </w:tc>
        <w:tc>
          <w:tcPr>
            <w:tcW w:w="541" w:type="dxa"/>
            <w:shd w:val="clear" w:color="auto" w:fill="auto"/>
            <w:hideMark/>
          </w:tcPr>
          <w:p w14:paraId="658575E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4C083C6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7301814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1BC9361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116.000 </w:t>
            </w:r>
          </w:p>
        </w:tc>
        <w:tc>
          <w:tcPr>
            <w:tcW w:w="911" w:type="dxa"/>
            <w:shd w:val="clear" w:color="000000" w:fill="FFFFFF"/>
            <w:noWrap/>
            <w:hideMark/>
          </w:tcPr>
          <w:p w14:paraId="112C09B6"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232.000 </w:t>
            </w:r>
          </w:p>
        </w:tc>
      </w:tr>
      <w:tr w:rsidR="00581335" w:rsidRPr="002439C6" w14:paraId="111F2919" w14:textId="77777777" w:rsidTr="00581335">
        <w:trPr>
          <w:trHeight w:val="3264"/>
        </w:trPr>
        <w:tc>
          <w:tcPr>
            <w:tcW w:w="348" w:type="dxa"/>
            <w:shd w:val="clear" w:color="auto" w:fill="auto"/>
            <w:noWrap/>
            <w:hideMark/>
          </w:tcPr>
          <w:p w14:paraId="203E17B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128</w:t>
            </w:r>
          </w:p>
        </w:tc>
        <w:tc>
          <w:tcPr>
            <w:tcW w:w="1632" w:type="dxa"/>
            <w:shd w:val="clear" w:color="auto" w:fill="auto"/>
            <w:hideMark/>
          </w:tcPr>
          <w:p w14:paraId="09203F1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Caja de almacenamiento para tubos de PCR</w:t>
            </w:r>
          </w:p>
        </w:tc>
        <w:tc>
          <w:tcPr>
            <w:tcW w:w="3283" w:type="dxa"/>
            <w:shd w:val="clear" w:color="auto" w:fill="auto"/>
            <w:hideMark/>
          </w:tcPr>
          <w:p w14:paraId="3521220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Caja de almacenamiento para tubos de PCR de 96 posiciones, fabricada en plástico de alta resistencia térmica y química, diseñada para organizar y proteger tubos individuales de 0,1 mL o 0,2 mL, tiras de tubos y placas parciales utilizadas en PCR convencional o en tiempo real. Presenta una cuadrícula interna de 96 pocillos con diámetro preciso para un encaje firme, manteniendo los tubos en posición estable y evitando derrames o daños. La tapa abatible o removible proporciona cierre seguro, protegiendo las muestras de polvo, humedad y contaminación. Puede incluir numeración y codificación por colores para la identificación rápida y trazabilidad de las muestras. Resistente a temperaturas de </w:t>
            </w:r>
            <w:r w:rsidRPr="002439C6">
              <w:rPr>
                <w:rFonts w:ascii="Arial" w:eastAsia="Times New Roman" w:hAnsi="Arial" w:cs="Arial"/>
                <w:color w:val="000000"/>
                <w:sz w:val="16"/>
                <w:szCs w:val="16"/>
                <w:lang w:eastAsia="es-PY"/>
              </w:rPr>
              <w:lastRenderedPageBreak/>
              <w:t>congelación y apta para esterilización en autoclave (121 °C),</w:t>
            </w:r>
          </w:p>
        </w:tc>
        <w:tc>
          <w:tcPr>
            <w:tcW w:w="541" w:type="dxa"/>
            <w:shd w:val="clear" w:color="auto" w:fill="auto"/>
            <w:hideMark/>
          </w:tcPr>
          <w:p w14:paraId="5322799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lastRenderedPageBreak/>
              <w:t>2</w:t>
            </w:r>
          </w:p>
        </w:tc>
        <w:tc>
          <w:tcPr>
            <w:tcW w:w="478" w:type="dxa"/>
            <w:shd w:val="clear" w:color="auto" w:fill="auto"/>
            <w:noWrap/>
            <w:hideMark/>
          </w:tcPr>
          <w:p w14:paraId="6C9FB85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67113E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7B14E39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116.000 </w:t>
            </w:r>
          </w:p>
        </w:tc>
        <w:tc>
          <w:tcPr>
            <w:tcW w:w="911" w:type="dxa"/>
            <w:shd w:val="clear" w:color="000000" w:fill="FFFFFF"/>
            <w:noWrap/>
            <w:hideMark/>
          </w:tcPr>
          <w:p w14:paraId="6B6B5EC2"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232.000 </w:t>
            </w:r>
          </w:p>
        </w:tc>
      </w:tr>
      <w:tr w:rsidR="00581335" w:rsidRPr="002439C6" w14:paraId="7854D7C3" w14:textId="77777777" w:rsidTr="00581335">
        <w:trPr>
          <w:trHeight w:val="4692"/>
        </w:trPr>
        <w:tc>
          <w:tcPr>
            <w:tcW w:w="348" w:type="dxa"/>
            <w:shd w:val="clear" w:color="auto" w:fill="auto"/>
            <w:noWrap/>
            <w:hideMark/>
          </w:tcPr>
          <w:p w14:paraId="737857D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129</w:t>
            </w:r>
          </w:p>
        </w:tc>
        <w:tc>
          <w:tcPr>
            <w:tcW w:w="1632" w:type="dxa"/>
            <w:shd w:val="clear" w:color="auto" w:fill="auto"/>
            <w:hideMark/>
          </w:tcPr>
          <w:p w14:paraId="6ACF5A1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Embudo de laboratorio en juego</w:t>
            </w:r>
          </w:p>
        </w:tc>
        <w:tc>
          <w:tcPr>
            <w:tcW w:w="3283" w:type="dxa"/>
            <w:shd w:val="clear" w:color="auto" w:fill="auto"/>
            <w:hideMark/>
          </w:tcPr>
          <w:p w14:paraId="2FC086D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 embudo de vidrio para laboratorio es un instrumento de forma cónica utilizado para trasvasar líquidos o sólidos en polvo desde un recipiente a otro, minimizando pérdidas y evitando derrames. Está fabricado en vidrio borosilicato de alta resistencia térmica y química, lo que le permite soportar temperaturas elevadas, esterilización en autoclave y exposición a disolventes, ácidos y bases sin degradarse ni alterar la pureza de las muestras. Su diseño consta de un cuerpo cónico que facilita el flujo del material hacia el vástago o tubo de salida, el cual puede ser corto (para trasvase rápido y uso con soportes de filtración) o largo (para mayor precisión y control del vertido). En filtraciones, el embudo se utiliza junto con papel de filtro plegado o sin plegar, adaptando el tamaño y el ángulo a las necesidades del procedimiento. Los embudos de vidrio se presentan en diferentes diámetros (habitualmente desde 30 mm) y con ángulos de cono estándar (generalmente 60°), compatibles con portaembudos y anillos de soporte. Su transparencia permite observar el flujo de líquido y detectar posibles obstrucciones durante el filtrado o el vertido.</w:t>
            </w:r>
          </w:p>
        </w:tc>
        <w:tc>
          <w:tcPr>
            <w:tcW w:w="541" w:type="dxa"/>
            <w:shd w:val="clear" w:color="auto" w:fill="auto"/>
            <w:hideMark/>
          </w:tcPr>
          <w:p w14:paraId="0802AA0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6941649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0CBC1E5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27E3C4C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17.500 </w:t>
            </w:r>
          </w:p>
        </w:tc>
        <w:tc>
          <w:tcPr>
            <w:tcW w:w="911" w:type="dxa"/>
            <w:shd w:val="clear" w:color="000000" w:fill="FFFFFF"/>
            <w:noWrap/>
            <w:hideMark/>
          </w:tcPr>
          <w:p w14:paraId="68008E02"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35.000 </w:t>
            </w:r>
          </w:p>
        </w:tc>
      </w:tr>
      <w:tr w:rsidR="00581335" w:rsidRPr="002439C6" w14:paraId="332A1CFA" w14:textId="77777777" w:rsidTr="00581335">
        <w:trPr>
          <w:trHeight w:val="4692"/>
        </w:trPr>
        <w:tc>
          <w:tcPr>
            <w:tcW w:w="348" w:type="dxa"/>
            <w:shd w:val="clear" w:color="auto" w:fill="auto"/>
            <w:noWrap/>
            <w:hideMark/>
          </w:tcPr>
          <w:p w14:paraId="69E6496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130</w:t>
            </w:r>
          </w:p>
        </w:tc>
        <w:tc>
          <w:tcPr>
            <w:tcW w:w="1632" w:type="dxa"/>
            <w:shd w:val="clear" w:color="auto" w:fill="auto"/>
            <w:hideMark/>
          </w:tcPr>
          <w:p w14:paraId="429ACE1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Embudo de laboratorio en juego</w:t>
            </w:r>
          </w:p>
        </w:tc>
        <w:tc>
          <w:tcPr>
            <w:tcW w:w="3283" w:type="dxa"/>
            <w:shd w:val="clear" w:color="auto" w:fill="auto"/>
            <w:hideMark/>
          </w:tcPr>
          <w:p w14:paraId="47E1CBE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 embudo de vidrio para laboratorio es un instrumento de forma cónica utilizado para trasvasar líquidos o sólidos en polvo desde un recipiente a otro, minimizando pérdidas y evitando derrames. Está fabricado en vidrio borosilicato de alta resistencia térmica y química, lo que le permite soportar temperaturas elevadas, esterilización en autoclave y exposición a disolventes, ácidos y bases sin degradarse ni alterar la pureza de las muestras. Su diseño consta de un cuerpo cónico que facilita el flujo del material hacia el vástago o tubo de salida, el cual puede ser corto (para trasvase rápido y uso con soportes de filtración) o largo (para mayor precisión y control del vertido). En filtraciones, el embudo se utiliza junto con papel de filtro plegado o sin plegar, adaptando el tamaño y el ángulo a las necesidades del procedimiento. Los embudos de vidrio se presentan en diferentes diámetros (habitualmente desde 60 mm) y con ángulos de cono estándar (generalmente 60°), compatibles con portaembudos y anillos de soporte. Su transparencia permite observar el flujo de líquido y detectar posibles obstrucciones durante el filtrado o el vertido.</w:t>
            </w:r>
          </w:p>
        </w:tc>
        <w:tc>
          <w:tcPr>
            <w:tcW w:w="541" w:type="dxa"/>
            <w:shd w:val="clear" w:color="auto" w:fill="auto"/>
            <w:hideMark/>
          </w:tcPr>
          <w:p w14:paraId="3C5864E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2624327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55B191D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1834DA4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29.000 </w:t>
            </w:r>
          </w:p>
        </w:tc>
        <w:tc>
          <w:tcPr>
            <w:tcW w:w="911" w:type="dxa"/>
            <w:shd w:val="clear" w:color="000000" w:fill="FFFFFF"/>
            <w:noWrap/>
            <w:hideMark/>
          </w:tcPr>
          <w:p w14:paraId="3EA74C62"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58.000 </w:t>
            </w:r>
          </w:p>
        </w:tc>
      </w:tr>
      <w:tr w:rsidR="00581335" w:rsidRPr="002439C6" w14:paraId="46117212" w14:textId="77777777" w:rsidTr="00581335">
        <w:trPr>
          <w:trHeight w:val="4692"/>
        </w:trPr>
        <w:tc>
          <w:tcPr>
            <w:tcW w:w="348" w:type="dxa"/>
            <w:shd w:val="clear" w:color="auto" w:fill="auto"/>
            <w:noWrap/>
            <w:hideMark/>
          </w:tcPr>
          <w:p w14:paraId="71A6605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131</w:t>
            </w:r>
          </w:p>
        </w:tc>
        <w:tc>
          <w:tcPr>
            <w:tcW w:w="1632" w:type="dxa"/>
            <w:shd w:val="clear" w:color="auto" w:fill="auto"/>
            <w:hideMark/>
          </w:tcPr>
          <w:p w14:paraId="16CAA1F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Embudo de laboratorio en juego</w:t>
            </w:r>
          </w:p>
        </w:tc>
        <w:tc>
          <w:tcPr>
            <w:tcW w:w="3283" w:type="dxa"/>
            <w:shd w:val="clear" w:color="auto" w:fill="auto"/>
            <w:hideMark/>
          </w:tcPr>
          <w:p w14:paraId="76B3D7E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 embudo de vidrio para laboratorio es un instrumento de forma cónica utilizado para trasvasar líquidos o sólidos en polvo desde un recipiente a otro, minimizando pérdidas y evitando derrames. Está fabricado en vidrio borosilicato de alta resistencia térmica y química, lo que le permite soportar temperaturas elevadas, esterilización en autoclave y exposición a disolventes, ácidos y bases sin degradarse ni alterar la pureza de las muestras. Su diseño consta de un cuerpo cónico que facilita el flujo del material hacia el vástago o tubo de salida, el cual puede ser corto (para trasvase rápido y uso con soportes de filtración) o largo (para mayor precisión y control del vertido). En filtraciones, el embudo se utiliza junto con papel de filtro plegado o sin plegar, adaptando el tamaño y el ángulo a las necesidades del procedimiento. Los embudos de vidrio se presentan en diferentes diámetros (habitualmente desde 75 mm) y con ángulos de cono estándar (generalmente 60°), compatibles con portaembudos y anillos de soporte. Su transparencia permite observar el flujo de líquido y detectar posibles obstrucciones durante el filtrado o el vertido.</w:t>
            </w:r>
          </w:p>
        </w:tc>
        <w:tc>
          <w:tcPr>
            <w:tcW w:w="541" w:type="dxa"/>
            <w:shd w:val="clear" w:color="auto" w:fill="auto"/>
            <w:hideMark/>
          </w:tcPr>
          <w:p w14:paraId="6C6E464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5D8A125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4EE6EA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1A177E0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38.000 </w:t>
            </w:r>
          </w:p>
        </w:tc>
        <w:tc>
          <w:tcPr>
            <w:tcW w:w="911" w:type="dxa"/>
            <w:shd w:val="clear" w:color="000000" w:fill="FFFFFF"/>
            <w:noWrap/>
            <w:hideMark/>
          </w:tcPr>
          <w:p w14:paraId="124A43A3"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76.000 </w:t>
            </w:r>
          </w:p>
        </w:tc>
      </w:tr>
      <w:tr w:rsidR="00581335" w:rsidRPr="002439C6" w14:paraId="14ACF673" w14:textId="77777777" w:rsidTr="00581335">
        <w:trPr>
          <w:trHeight w:val="4692"/>
        </w:trPr>
        <w:tc>
          <w:tcPr>
            <w:tcW w:w="348" w:type="dxa"/>
            <w:shd w:val="clear" w:color="auto" w:fill="auto"/>
            <w:noWrap/>
            <w:hideMark/>
          </w:tcPr>
          <w:p w14:paraId="2651FCA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132</w:t>
            </w:r>
          </w:p>
        </w:tc>
        <w:tc>
          <w:tcPr>
            <w:tcW w:w="1632" w:type="dxa"/>
            <w:shd w:val="clear" w:color="auto" w:fill="auto"/>
            <w:hideMark/>
          </w:tcPr>
          <w:p w14:paraId="32572E0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Embudo de laboratorio en juego</w:t>
            </w:r>
          </w:p>
        </w:tc>
        <w:tc>
          <w:tcPr>
            <w:tcW w:w="3283" w:type="dxa"/>
            <w:shd w:val="clear" w:color="auto" w:fill="auto"/>
            <w:hideMark/>
          </w:tcPr>
          <w:p w14:paraId="558E5AD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 embudo de vidrio para laboratorio es un instrumento de forma cónica utilizado para trasvasar líquidos o sólidos en polvo desde un recipiente a otro, minimizando pérdidas y evitando derrames. Está fabricado en vidrio borosilicato de alta resistencia térmica y química, lo que le permite soportar temperaturas elevadas, esterilización en autoclave y exposición a disolventes, ácidos y bases sin degradarse ni alterar la pureza de las muestras. Su diseño consta de un cuerpo cónico que facilita el flujo del material hacia el vástago o tubo de salida, el cual puede ser corto (para trasvase rápido y uso con soportes de filtración) o largo (para mayor precisión y control del vertido). En filtraciones, el embudo se utiliza junto con papel de filtro plegado o sin plegar, adaptando el tamaño y el ángulo a las necesidades del procedimiento. Los embudos de vidrio se presentan en diferentes diámetros (habitualmente desde 90 mm) y con ángulos de cono estándar (generalmente 60°), compatibles con portaembudos y anillos de soporte. Su transparencia permite observar el flujo de líquido y detectar posibles obstrucciones durante el filtrado o el vertido.</w:t>
            </w:r>
          </w:p>
        </w:tc>
        <w:tc>
          <w:tcPr>
            <w:tcW w:w="541" w:type="dxa"/>
            <w:shd w:val="clear" w:color="auto" w:fill="auto"/>
            <w:hideMark/>
          </w:tcPr>
          <w:p w14:paraId="5140248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24C625E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60A83CF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3136F4B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43.500 </w:t>
            </w:r>
          </w:p>
        </w:tc>
        <w:tc>
          <w:tcPr>
            <w:tcW w:w="911" w:type="dxa"/>
            <w:shd w:val="clear" w:color="000000" w:fill="FFFFFF"/>
            <w:noWrap/>
            <w:hideMark/>
          </w:tcPr>
          <w:p w14:paraId="24560FE8"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87.000 </w:t>
            </w:r>
          </w:p>
        </w:tc>
      </w:tr>
      <w:tr w:rsidR="00581335" w:rsidRPr="002439C6" w14:paraId="08E46AB8" w14:textId="77777777" w:rsidTr="00581335">
        <w:trPr>
          <w:trHeight w:val="4692"/>
        </w:trPr>
        <w:tc>
          <w:tcPr>
            <w:tcW w:w="348" w:type="dxa"/>
            <w:shd w:val="clear" w:color="auto" w:fill="auto"/>
            <w:noWrap/>
            <w:hideMark/>
          </w:tcPr>
          <w:p w14:paraId="4A7751F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133</w:t>
            </w:r>
          </w:p>
        </w:tc>
        <w:tc>
          <w:tcPr>
            <w:tcW w:w="1632" w:type="dxa"/>
            <w:shd w:val="clear" w:color="auto" w:fill="auto"/>
            <w:hideMark/>
          </w:tcPr>
          <w:p w14:paraId="5E90A02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Embudo de laboratorio en juego</w:t>
            </w:r>
          </w:p>
        </w:tc>
        <w:tc>
          <w:tcPr>
            <w:tcW w:w="3283" w:type="dxa"/>
            <w:shd w:val="clear" w:color="auto" w:fill="auto"/>
            <w:hideMark/>
          </w:tcPr>
          <w:p w14:paraId="6D5C410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 embudo de vidrio para laboratorio es un instrumento de forma cónica utilizado para trasvasar líquidos o sólidos en polvo desde un recipiente a otro, minimizando pérdidas y evitando derrames. Está fabricado en vidrio borosilicato de alta resistencia térmica y química, lo que le permite soportar temperaturas elevadas, esterilización en autoclave y exposición a disolventes, ácidos y bases sin degradarse ni alterar la pureza de las muestras. Su diseño consta de un cuerpo cónico que facilita el flujo del material hacia el vástago o tubo de salida, el cual puede ser corto (para trasvase rápido y uso con soportes de filtración) o largo (para mayor precisión y control del vertido). En filtraciones, el embudo se utiliza junto con papel de filtro plegado o sin plegar, adaptando el tamaño y el ángulo a las necesidades del procedimiento. Los embudos de vidrio se presentan en diferentes diámetros (habitualmente desde 120 mm) y con ángulos de cono estándar (generalmente 60°), compatibles con portaembudos y anillos de soporte. Su transparencia permite observar el flujo de líquido y detectar posibles obstrucciones durante el filtrado o el vertido.</w:t>
            </w:r>
          </w:p>
        </w:tc>
        <w:tc>
          <w:tcPr>
            <w:tcW w:w="541" w:type="dxa"/>
            <w:shd w:val="clear" w:color="auto" w:fill="auto"/>
            <w:hideMark/>
          </w:tcPr>
          <w:p w14:paraId="073742A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w:t>
            </w:r>
          </w:p>
        </w:tc>
        <w:tc>
          <w:tcPr>
            <w:tcW w:w="478" w:type="dxa"/>
            <w:shd w:val="clear" w:color="auto" w:fill="auto"/>
            <w:noWrap/>
            <w:hideMark/>
          </w:tcPr>
          <w:p w14:paraId="6E04881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3EE58D2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765175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72.500 </w:t>
            </w:r>
          </w:p>
        </w:tc>
        <w:tc>
          <w:tcPr>
            <w:tcW w:w="911" w:type="dxa"/>
            <w:shd w:val="clear" w:color="auto" w:fill="auto"/>
            <w:noWrap/>
            <w:hideMark/>
          </w:tcPr>
          <w:p w14:paraId="4C3E30D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72.500 </w:t>
            </w:r>
          </w:p>
        </w:tc>
      </w:tr>
      <w:tr w:rsidR="00581335" w:rsidRPr="002439C6" w14:paraId="3BEFD904" w14:textId="77777777" w:rsidTr="00581335">
        <w:trPr>
          <w:trHeight w:val="4896"/>
        </w:trPr>
        <w:tc>
          <w:tcPr>
            <w:tcW w:w="348" w:type="dxa"/>
            <w:shd w:val="clear" w:color="auto" w:fill="auto"/>
            <w:noWrap/>
            <w:hideMark/>
          </w:tcPr>
          <w:p w14:paraId="3DDEDAA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134</w:t>
            </w:r>
          </w:p>
        </w:tc>
        <w:tc>
          <w:tcPr>
            <w:tcW w:w="1632" w:type="dxa"/>
            <w:shd w:val="clear" w:color="auto" w:fill="auto"/>
            <w:hideMark/>
          </w:tcPr>
          <w:p w14:paraId="297803C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Embudo de laboratorio en juego</w:t>
            </w:r>
          </w:p>
        </w:tc>
        <w:tc>
          <w:tcPr>
            <w:tcW w:w="3283" w:type="dxa"/>
            <w:shd w:val="clear" w:color="auto" w:fill="auto"/>
            <w:hideMark/>
          </w:tcPr>
          <w:p w14:paraId="7C35B67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 embudo de polipropileno de alta resistencia para laboratorio es un instrumento de forma cónica utilizado para trasvasar líquidos o sólidos en polvo desde un recipiente a otro, minimizando pérdidas y evitando derrames. Está fabricado en vidrio polipropileno  de alta resistencia térmica y química, lo que le permite soportar temperaturas elevadas, esterilización en autoclave y exposición a disolventes, ácidos y bases sin degradarse ni alterar la pureza de las muestras. Su diseño consta de un cuerpo cónico que facilita el flujo del material hacia el vástago o tubo de salida, el cual puede ser corto (para trasvase rápido y uso con soportes de filtración) o largo (para mayor precisión y control del vertido). En filtraciones, el embudo se utiliza junto con papel de filtro plegado o sin plegar, adaptando el tamaño y el ángulo a las necesidades del procedimiento. Los embudos de vidrio se presentan en diferentes diámetros (habitualmente desde 50 mm) y con ángulos de cono estándar (generalmente 60°), compatibles con portaembudos y anillos de soporte. Su transparencia permite observar el flujo de líquido y detectar posibles obstrucciones durante el filtrado o el vertido.</w:t>
            </w:r>
          </w:p>
        </w:tc>
        <w:tc>
          <w:tcPr>
            <w:tcW w:w="541" w:type="dxa"/>
            <w:shd w:val="clear" w:color="auto" w:fill="auto"/>
            <w:hideMark/>
          </w:tcPr>
          <w:p w14:paraId="33A5F6E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w:t>
            </w:r>
          </w:p>
        </w:tc>
        <w:tc>
          <w:tcPr>
            <w:tcW w:w="478" w:type="dxa"/>
            <w:shd w:val="clear" w:color="auto" w:fill="auto"/>
            <w:noWrap/>
            <w:hideMark/>
          </w:tcPr>
          <w:p w14:paraId="00FCF52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035488D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5D1387F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4.500 </w:t>
            </w:r>
          </w:p>
        </w:tc>
        <w:tc>
          <w:tcPr>
            <w:tcW w:w="911" w:type="dxa"/>
            <w:shd w:val="clear" w:color="000000" w:fill="FFFFFF"/>
            <w:noWrap/>
            <w:hideMark/>
          </w:tcPr>
          <w:p w14:paraId="5154C3FE"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45.000 </w:t>
            </w:r>
          </w:p>
        </w:tc>
      </w:tr>
      <w:tr w:rsidR="00581335" w:rsidRPr="002439C6" w14:paraId="61C2BDC4" w14:textId="77777777" w:rsidTr="00581335">
        <w:trPr>
          <w:trHeight w:val="4896"/>
        </w:trPr>
        <w:tc>
          <w:tcPr>
            <w:tcW w:w="348" w:type="dxa"/>
            <w:shd w:val="clear" w:color="auto" w:fill="auto"/>
            <w:noWrap/>
            <w:hideMark/>
          </w:tcPr>
          <w:p w14:paraId="7B653DF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135</w:t>
            </w:r>
          </w:p>
        </w:tc>
        <w:tc>
          <w:tcPr>
            <w:tcW w:w="1632" w:type="dxa"/>
            <w:shd w:val="clear" w:color="auto" w:fill="auto"/>
            <w:hideMark/>
          </w:tcPr>
          <w:p w14:paraId="760688C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Embudo de laboratorio en juego</w:t>
            </w:r>
          </w:p>
        </w:tc>
        <w:tc>
          <w:tcPr>
            <w:tcW w:w="3283" w:type="dxa"/>
            <w:shd w:val="clear" w:color="auto" w:fill="auto"/>
            <w:hideMark/>
          </w:tcPr>
          <w:p w14:paraId="73B999D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 embudo de polipropileno de alta resistencia para laboratorio es un instrumento de forma cónica utilizado para trasvasar líquidos o sólidos en polvo desde un recipiente a otro, minimizando pérdidas y evitando derrames. Está fabricado en vidrio polipropileno  de alta resistencia térmica y química, lo que le permite soportar temperaturas elevadas, esterilización en autoclave y exposición a disolventes, ácidos y bases sin degradarse ni alterar la pureza de las muestras. Su diseño consta de un cuerpo cónico que facilita el flujo del material hacia el vástago o tubo de salida, el cual puede ser corto (para trasvase rápido y uso con soportes de filtración) o largo (para mayor precisión y control del vertido). En filtraciones, el embudo se utiliza junto con papel de filtro plegado o sin plegar, adaptando el tamaño y el ángulo a las necesidades del procedimiento. Los embudos de vidrio se presentan en diferentes diámetros (habitualmente desde 60 mm) y con ángulos de cono estándar (generalmente 60°), compatibles con portaembudos y anillos de soporte. Su transparencia permite observar el flujo de líquido y detectar posibles obstrucciones durante el filtrado o el vertido.</w:t>
            </w:r>
          </w:p>
        </w:tc>
        <w:tc>
          <w:tcPr>
            <w:tcW w:w="541" w:type="dxa"/>
            <w:shd w:val="clear" w:color="auto" w:fill="auto"/>
            <w:hideMark/>
          </w:tcPr>
          <w:p w14:paraId="3250012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w:t>
            </w:r>
          </w:p>
        </w:tc>
        <w:tc>
          <w:tcPr>
            <w:tcW w:w="478" w:type="dxa"/>
            <w:shd w:val="clear" w:color="auto" w:fill="auto"/>
            <w:noWrap/>
            <w:hideMark/>
          </w:tcPr>
          <w:p w14:paraId="424947F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05A2F1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6ECE2C5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6.000 </w:t>
            </w:r>
          </w:p>
        </w:tc>
        <w:tc>
          <w:tcPr>
            <w:tcW w:w="911" w:type="dxa"/>
            <w:shd w:val="clear" w:color="000000" w:fill="FFFFFF"/>
            <w:noWrap/>
            <w:hideMark/>
          </w:tcPr>
          <w:p w14:paraId="768830BD"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60.000 </w:t>
            </w:r>
          </w:p>
        </w:tc>
      </w:tr>
      <w:tr w:rsidR="00581335" w:rsidRPr="002439C6" w14:paraId="5A24480E" w14:textId="77777777" w:rsidTr="00581335">
        <w:trPr>
          <w:trHeight w:val="4896"/>
        </w:trPr>
        <w:tc>
          <w:tcPr>
            <w:tcW w:w="348" w:type="dxa"/>
            <w:shd w:val="clear" w:color="auto" w:fill="auto"/>
            <w:noWrap/>
            <w:hideMark/>
          </w:tcPr>
          <w:p w14:paraId="06F6F2D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136</w:t>
            </w:r>
          </w:p>
        </w:tc>
        <w:tc>
          <w:tcPr>
            <w:tcW w:w="1632" w:type="dxa"/>
            <w:shd w:val="clear" w:color="auto" w:fill="auto"/>
            <w:hideMark/>
          </w:tcPr>
          <w:p w14:paraId="4ACE74B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Embudo de laboratorio en juego</w:t>
            </w:r>
          </w:p>
        </w:tc>
        <w:tc>
          <w:tcPr>
            <w:tcW w:w="3283" w:type="dxa"/>
            <w:shd w:val="clear" w:color="auto" w:fill="auto"/>
            <w:hideMark/>
          </w:tcPr>
          <w:p w14:paraId="6D5FCE0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 embudo de polipropileno de alta resistencia para laboratorio es un instrumento de forma cónica utilizado para trasvasar líquidos o sólidos en polvo desde un recipiente a otro, minimizando pérdidas y evitando derrames. Está fabricado en vidrio polipropileno  de alta resistencia térmica y química, lo que le permite soportar temperaturas elevadas, esterilización en autoclave y exposición a disolventes, ácidos y bases sin degradarse ni alterar la pureza de las muestras. Su diseño consta de un cuerpo cónico que facilita el flujo del material hacia el vástago o tubo de salida, el cual puede ser corto (para trasvase rápido y uso con soportes de filtración) o largo (para mayor precisión y control del vertido). En filtraciones, el embudo se utiliza junto con papel de filtro plegado o sin plegar, adaptando el tamaño y el ángulo a las necesidades del procedimiento. Los embudos de vidrio se presentan en diferentes diámetros (habitualmente desde 75 mm) y con ángulos de cono estándar (generalmente 60°), compatibles con portaembudos y anillos de soporte. Su transparencia permite observar el flujo de líquido y detectar posibles obstrucciones durante el filtrado o el vertido.</w:t>
            </w:r>
          </w:p>
        </w:tc>
        <w:tc>
          <w:tcPr>
            <w:tcW w:w="541" w:type="dxa"/>
            <w:shd w:val="clear" w:color="auto" w:fill="auto"/>
            <w:hideMark/>
          </w:tcPr>
          <w:p w14:paraId="0F6F6B3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w:t>
            </w:r>
          </w:p>
        </w:tc>
        <w:tc>
          <w:tcPr>
            <w:tcW w:w="478" w:type="dxa"/>
            <w:shd w:val="clear" w:color="auto" w:fill="auto"/>
            <w:noWrap/>
            <w:hideMark/>
          </w:tcPr>
          <w:p w14:paraId="4071B95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65DFD83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57772DE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8.500 </w:t>
            </w:r>
          </w:p>
        </w:tc>
        <w:tc>
          <w:tcPr>
            <w:tcW w:w="911" w:type="dxa"/>
            <w:shd w:val="clear" w:color="000000" w:fill="FFFFFF"/>
            <w:noWrap/>
            <w:hideMark/>
          </w:tcPr>
          <w:p w14:paraId="12296C16"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85.000 </w:t>
            </w:r>
          </w:p>
        </w:tc>
      </w:tr>
      <w:tr w:rsidR="00581335" w:rsidRPr="002439C6" w14:paraId="1D84CE24" w14:textId="77777777" w:rsidTr="00581335">
        <w:trPr>
          <w:trHeight w:val="4896"/>
        </w:trPr>
        <w:tc>
          <w:tcPr>
            <w:tcW w:w="348" w:type="dxa"/>
            <w:shd w:val="clear" w:color="auto" w:fill="auto"/>
            <w:noWrap/>
            <w:hideMark/>
          </w:tcPr>
          <w:p w14:paraId="3CED268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137</w:t>
            </w:r>
          </w:p>
        </w:tc>
        <w:tc>
          <w:tcPr>
            <w:tcW w:w="1632" w:type="dxa"/>
            <w:shd w:val="clear" w:color="auto" w:fill="auto"/>
            <w:hideMark/>
          </w:tcPr>
          <w:p w14:paraId="70EC53B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Embudo de laboratorio en juego</w:t>
            </w:r>
          </w:p>
        </w:tc>
        <w:tc>
          <w:tcPr>
            <w:tcW w:w="3283" w:type="dxa"/>
            <w:shd w:val="clear" w:color="auto" w:fill="auto"/>
            <w:hideMark/>
          </w:tcPr>
          <w:p w14:paraId="3554C70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 embudo de polipropileno de alta resistencia para laboratorio es un instrumento de forma cónica utilizado para trasvasar líquidos o sólidos en polvo desde un recipiente a otro, minimizando pérdidas y evitando derrames. Está fabricado en vidrio polipropileno  de alta resistencia térmica y química, lo que le permite soportar temperaturas elevadas, esterilización en autoclave y exposición a disolventes, ácidos y bases sin degradarse ni alterar la pureza de las muestras. Su diseño consta de un cuerpo cónico que facilita el flujo del material hacia el vástago o tubo de salida, el cual puede ser corto (para trasvase rápido y uso con soportes de filtración) o largo (para mayor precisión y control del vertido). En filtraciones, el embudo se utiliza junto con papel de filtro plegado o sin plegar, adaptando el tamaño y el ángulo a las necesidades del procedimiento. Los embudos de vidrio se presentan en diferentes diámetros (habitualmente desde 90 mm) y con ángulos de cono estándar (generalmente 60°), compatibles con portaembudos y anillos de soporte. Su transparencia permite observar el flujo de líquido y detectar posibles obstrucciones durante el filtrado o el vertido.</w:t>
            </w:r>
          </w:p>
        </w:tc>
        <w:tc>
          <w:tcPr>
            <w:tcW w:w="541" w:type="dxa"/>
            <w:shd w:val="clear" w:color="auto" w:fill="auto"/>
            <w:hideMark/>
          </w:tcPr>
          <w:p w14:paraId="106379A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w:t>
            </w:r>
          </w:p>
        </w:tc>
        <w:tc>
          <w:tcPr>
            <w:tcW w:w="478" w:type="dxa"/>
            <w:shd w:val="clear" w:color="auto" w:fill="auto"/>
            <w:noWrap/>
            <w:hideMark/>
          </w:tcPr>
          <w:p w14:paraId="533F0B6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34A470E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238C915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10.000 </w:t>
            </w:r>
          </w:p>
        </w:tc>
        <w:tc>
          <w:tcPr>
            <w:tcW w:w="911" w:type="dxa"/>
            <w:shd w:val="clear" w:color="000000" w:fill="FFFFFF"/>
            <w:noWrap/>
            <w:hideMark/>
          </w:tcPr>
          <w:p w14:paraId="62B038ED"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100.000 </w:t>
            </w:r>
          </w:p>
        </w:tc>
      </w:tr>
      <w:tr w:rsidR="00581335" w:rsidRPr="002439C6" w14:paraId="64D93707" w14:textId="77777777" w:rsidTr="00581335">
        <w:trPr>
          <w:trHeight w:val="4896"/>
        </w:trPr>
        <w:tc>
          <w:tcPr>
            <w:tcW w:w="348" w:type="dxa"/>
            <w:shd w:val="clear" w:color="auto" w:fill="auto"/>
            <w:noWrap/>
            <w:hideMark/>
          </w:tcPr>
          <w:p w14:paraId="0AE5001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138</w:t>
            </w:r>
          </w:p>
        </w:tc>
        <w:tc>
          <w:tcPr>
            <w:tcW w:w="1632" w:type="dxa"/>
            <w:shd w:val="clear" w:color="auto" w:fill="auto"/>
            <w:hideMark/>
          </w:tcPr>
          <w:p w14:paraId="0E413100"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Embudo de laboratorio en juego</w:t>
            </w:r>
          </w:p>
        </w:tc>
        <w:tc>
          <w:tcPr>
            <w:tcW w:w="3283" w:type="dxa"/>
            <w:shd w:val="clear" w:color="auto" w:fill="auto"/>
            <w:hideMark/>
          </w:tcPr>
          <w:p w14:paraId="76017AC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 embudo de polipropileno de alta resistencia para laboratorio es un instrumento de forma cónica utilizado para trasvasar líquidos o sólidos en polvo desde un recipiente a otro, minimizando pérdidas y evitando derrames. Está fabricado en vidrio polipropileno  de alta resistencia térmica y química, lo que le permite soportar temperaturas elevadas, esterilización en autoclave y exposición a disolventes, ácidos y bases sin degradarse ni alterar la pureza de las muestras. Su diseño consta de un cuerpo cónico que facilita el flujo del material hacia el vástago o tubo de salida, el cual puede ser corto (para trasvase rápido y uso con soportes de filtración) o largo (para mayor precisión y control del vertido). En filtraciones, el embudo se utiliza junto con papel de filtro plegado o sin plegar, adaptando el tamaño y el ángulo a las necesidades del procedimiento. Los embudos de vidrio se presentan en diferentes diámetros (habitualmente desde 120mm) y con ángulos de cono estándar (generalmente 60°), compatibles con portaembudos y anillos de soporte. Su transparencia permite observar el flujo de líquido y detectar posibles obstrucciones durante el filtrado o el vertido.</w:t>
            </w:r>
          </w:p>
        </w:tc>
        <w:tc>
          <w:tcPr>
            <w:tcW w:w="541" w:type="dxa"/>
            <w:shd w:val="clear" w:color="auto" w:fill="auto"/>
            <w:hideMark/>
          </w:tcPr>
          <w:p w14:paraId="31D023D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w:t>
            </w:r>
          </w:p>
        </w:tc>
        <w:tc>
          <w:tcPr>
            <w:tcW w:w="478" w:type="dxa"/>
            <w:shd w:val="clear" w:color="auto" w:fill="auto"/>
            <w:noWrap/>
            <w:hideMark/>
          </w:tcPr>
          <w:p w14:paraId="18FB0F2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727FFE50"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334C2C0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22.000 </w:t>
            </w:r>
          </w:p>
        </w:tc>
        <w:tc>
          <w:tcPr>
            <w:tcW w:w="911" w:type="dxa"/>
            <w:shd w:val="clear" w:color="000000" w:fill="FFFFFF"/>
            <w:noWrap/>
            <w:hideMark/>
          </w:tcPr>
          <w:p w14:paraId="0C42418B"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220.000 </w:t>
            </w:r>
          </w:p>
        </w:tc>
      </w:tr>
      <w:tr w:rsidR="00581335" w:rsidRPr="002439C6" w14:paraId="54A41903" w14:textId="77777777" w:rsidTr="00581335">
        <w:trPr>
          <w:trHeight w:val="4896"/>
        </w:trPr>
        <w:tc>
          <w:tcPr>
            <w:tcW w:w="348" w:type="dxa"/>
            <w:shd w:val="clear" w:color="auto" w:fill="auto"/>
            <w:noWrap/>
            <w:hideMark/>
          </w:tcPr>
          <w:p w14:paraId="7C20F6F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139</w:t>
            </w:r>
          </w:p>
        </w:tc>
        <w:tc>
          <w:tcPr>
            <w:tcW w:w="1632" w:type="dxa"/>
            <w:shd w:val="clear" w:color="auto" w:fill="auto"/>
            <w:hideMark/>
          </w:tcPr>
          <w:p w14:paraId="17AF190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Botellas o frascos de cultivo</w:t>
            </w:r>
          </w:p>
        </w:tc>
        <w:tc>
          <w:tcPr>
            <w:tcW w:w="3283" w:type="dxa"/>
            <w:shd w:val="clear" w:color="auto" w:fill="auto"/>
            <w:hideMark/>
          </w:tcPr>
          <w:p w14:paraId="335FFD7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Las botellas para medios de cultivo de 1 L son recipientes de laboratorio diseñados para la preparación, almacenamiento y esterilización de medios de cultivo líquidos, soluciones y reactivos. Generalmente están fabricadas en vidrio borosilicato de alta resistencia térmica y química, lo que les permite soportar procesos de esterilización en autoclave a altas temperaturas y presiones sin deformarse ni liberar contaminantes. Cuentan con paredes transparentes para facilitar la observación del contenido y graduaciones impresas o grabadas para un llenado y medición aproximada del volumen. Están provistas de una boca ancha que facilita el vertido, la adición de componentes y la limpieza interna, además de una tapa o tapón roscado, habitualmente de polipropileno o material similar, con sello hermético y resistente al autoclave. Su diseño es apto para múltiples ciclos de esterilización y manipulación en condiciones de laboratorio, manteniendo la integridad del contenido y evitando fugas. Se requiere que las botellas sean suministradas en vidrio borosilicato de alta calidad, con capacidad de 1 L, graduaciones visibles, boca ancha y tapa resistente a autoclavado</w:t>
            </w:r>
          </w:p>
        </w:tc>
        <w:tc>
          <w:tcPr>
            <w:tcW w:w="541" w:type="dxa"/>
            <w:shd w:val="clear" w:color="auto" w:fill="auto"/>
            <w:hideMark/>
          </w:tcPr>
          <w:p w14:paraId="048C2CA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6</w:t>
            </w:r>
          </w:p>
        </w:tc>
        <w:tc>
          <w:tcPr>
            <w:tcW w:w="478" w:type="dxa"/>
            <w:shd w:val="clear" w:color="auto" w:fill="auto"/>
            <w:noWrap/>
            <w:hideMark/>
          </w:tcPr>
          <w:p w14:paraId="1099DBC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79907A30"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36AC860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79.500 </w:t>
            </w:r>
          </w:p>
        </w:tc>
        <w:tc>
          <w:tcPr>
            <w:tcW w:w="911" w:type="dxa"/>
            <w:shd w:val="clear" w:color="000000" w:fill="FFFFFF"/>
            <w:noWrap/>
            <w:hideMark/>
          </w:tcPr>
          <w:p w14:paraId="139EF831"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477.000 </w:t>
            </w:r>
          </w:p>
        </w:tc>
      </w:tr>
      <w:tr w:rsidR="00581335" w:rsidRPr="002439C6" w14:paraId="122E996B" w14:textId="77777777" w:rsidTr="00581335">
        <w:trPr>
          <w:trHeight w:val="4896"/>
        </w:trPr>
        <w:tc>
          <w:tcPr>
            <w:tcW w:w="348" w:type="dxa"/>
            <w:shd w:val="clear" w:color="auto" w:fill="auto"/>
            <w:noWrap/>
            <w:hideMark/>
          </w:tcPr>
          <w:p w14:paraId="36605E2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140</w:t>
            </w:r>
          </w:p>
        </w:tc>
        <w:tc>
          <w:tcPr>
            <w:tcW w:w="1632" w:type="dxa"/>
            <w:shd w:val="clear" w:color="auto" w:fill="auto"/>
            <w:hideMark/>
          </w:tcPr>
          <w:p w14:paraId="2A09FF9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Botellas o frascos de cultivo</w:t>
            </w:r>
          </w:p>
        </w:tc>
        <w:tc>
          <w:tcPr>
            <w:tcW w:w="3283" w:type="dxa"/>
            <w:shd w:val="clear" w:color="auto" w:fill="auto"/>
            <w:hideMark/>
          </w:tcPr>
          <w:p w14:paraId="5C9F783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Las botellas para medios de cultivo de 500ml son recipientes de laboratorio diseñados para la preparación, almacenamiento y esterilización de medios de cultivo líquidos, soluciones y reactivos. Generalmente están fabricadas en vidrio borosilicato de alta resistencia térmica y química, lo que les permite soportar procesos de esterilización en autoclave a altas temperaturas y presiones sin deformarse ni liberar contaminantes. Cuentan con paredes transparentes para facilitar la observación del contenido y graduaciones impresas o grabadas para un llenado y medición aproximada del volumen. Están provistas de una boca ancha que facilita el vertido, la adición de componentes y la limpieza interna, además de una tapa o tapón roscado, habitualmente de polipropileno o material similar, con sello hermético y resistente al autoclave. Su diseño es apto para múltiples ciclos de esterilización y manipulación en condiciones de laboratorio, manteniendo la integridad del contenido y evitando fugas. Se requiere que las botellas sean suministradas en vidrio borosilicato de alta calidad, con capacidad de 500ml, graduaciones visibles, boca ancha y tapa resistente a autoclavado</w:t>
            </w:r>
          </w:p>
        </w:tc>
        <w:tc>
          <w:tcPr>
            <w:tcW w:w="541" w:type="dxa"/>
            <w:shd w:val="clear" w:color="auto" w:fill="auto"/>
            <w:hideMark/>
          </w:tcPr>
          <w:p w14:paraId="6CD36B1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6</w:t>
            </w:r>
          </w:p>
        </w:tc>
        <w:tc>
          <w:tcPr>
            <w:tcW w:w="478" w:type="dxa"/>
            <w:shd w:val="clear" w:color="auto" w:fill="auto"/>
            <w:noWrap/>
            <w:hideMark/>
          </w:tcPr>
          <w:p w14:paraId="05C0F38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564C551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496950A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113.000 </w:t>
            </w:r>
          </w:p>
        </w:tc>
        <w:tc>
          <w:tcPr>
            <w:tcW w:w="911" w:type="dxa"/>
            <w:shd w:val="clear" w:color="000000" w:fill="FFFFFF"/>
            <w:noWrap/>
            <w:hideMark/>
          </w:tcPr>
          <w:p w14:paraId="68474BAA"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678.000 </w:t>
            </w:r>
          </w:p>
        </w:tc>
      </w:tr>
      <w:tr w:rsidR="00581335" w:rsidRPr="002439C6" w14:paraId="455B70A5" w14:textId="77777777" w:rsidTr="00581335">
        <w:trPr>
          <w:trHeight w:val="4896"/>
        </w:trPr>
        <w:tc>
          <w:tcPr>
            <w:tcW w:w="348" w:type="dxa"/>
            <w:shd w:val="clear" w:color="auto" w:fill="auto"/>
            <w:noWrap/>
            <w:hideMark/>
          </w:tcPr>
          <w:p w14:paraId="20C05D7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141</w:t>
            </w:r>
          </w:p>
        </w:tc>
        <w:tc>
          <w:tcPr>
            <w:tcW w:w="1632" w:type="dxa"/>
            <w:shd w:val="clear" w:color="auto" w:fill="auto"/>
            <w:hideMark/>
          </w:tcPr>
          <w:p w14:paraId="0ECF400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Botellas o frascos de cultivo</w:t>
            </w:r>
          </w:p>
        </w:tc>
        <w:tc>
          <w:tcPr>
            <w:tcW w:w="3283" w:type="dxa"/>
            <w:shd w:val="clear" w:color="auto" w:fill="auto"/>
            <w:hideMark/>
          </w:tcPr>
          <w:p w14:paraId="3FD9230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Las botellas para medios de cultivo de 250ml son recipientes de laboratorio diseñados para la preparación, almacenamiento y esterilización de medios de cultivo líquidos, soluciones y reactivos. Generalmente están fabricadas en vidrio borosilicato de alta resistencia térmica y química, lo que les permite soportar procesos de esterilización en autoclave a altas temperaturas y presiones sin deformarse ni liberar contaminantes. Cuentan con paredes transparentes para facilitar la observación del contenido y graduaciones impresas o grabadas para un llenado y medición aproximada del volumen. Están provistas de una boca ancha que facilita el vertido, la adición de componentes y la limpieza interna, además de una tapa o tapón roscado, habitualmente de polipropileno o material similar, con sello hermético y resistente al autoclave. Su diseño es apto para múltiples ciclos de esterilización y manipulación en condiciones de laboratorio, manteniendo la integridad del contenido y evitando fugas. Se requiere que las botellas sean suministradas en vidrio borosilicato de alta calidad, con capacidad de 250ml, graduaciones visibles, boca ancha y tapa resistente a autoclavado</w:t>
            </w:r>
          </w:p>
        </w:tc>
        <w:tc>
          <w:tcPr>
            <w:tcW w:w="541" w:type="dxa"/>
            <w:shd w:val="clear" w:color="auto" w:fill="auto"/>
            <w:hideMark/>
          </w:tcPr>
          <w:p w14:paraId="08221B3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6</w:t>
            </w:r>
          </w:p>
        </w:tc>
        <w:tc>
          <w:tcPr>
            <w:tcW w:w="478" w:type="dxa"/>
            <w:shd w:val="clear" w:color="auto" w:fill="auto"/>
            <w:noWrap/>
            <w:hideMark/>
          </w:tcPr>
          <w:p w14:paraId="1F79D12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F58F73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3311E2F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32.000 </w:t>
            </w:r>
          </w:p>
        </w:tc>
        <w:tc>
          <w:tcPr>
            <w:tcW w:w="911" w:type="dxa"/>
            <w:shd w:val="clear" w:color="000000" w:fill="FFFFFF"/>
            <w:noWrap/>
            <w:hideMark/>
          </w:tcPr>
          <w:p w14:paraId="503CBE40"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192.000 </w:t>
            </w:r>
          </w:p>
        </w:tc>
      </w:tr>
      <w:tr w:rsidR="00581335" w:rsidRPr="002439C6" w14:paraId="5CE37205" w14:textId="77777777" w:rsidTr="00581335">
        <w:trPr>
          <w:trHeight w:val="4896"/>
        </w:trPr>
        <w:tc>
          <w:tcPr>
            <w:tcW w:w="348" w:type="dxa"/>
            <w:shd w:val="clear" w:color="auto" w:fill="auto"/>
            <w:noWrap/>
            <w:hideMark/>
          </w:tcPr>
          <w:p w14:paraId="5FFD4A2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142</w:t>
            </w:r>
          </w:p>
        </w:tc>
        <w:tc>
          <w:tcPr>
            <w:tcW w:w="1632" w:type="dxa"/>
            <w:shd w:val="clear" w:color="auto" w:fill="auto"/>
            <w:hideMark/>
          </w:tcPr>
          <w:p w14:paraId="1312765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Botellas o frascos de cultivo</w:t>
            </w:r>
          </w:p>
        </w:tc>
        <w:tc>
          <w:tcPr>
            <w:tcW w:w="3283" w:type="dxa"/>
            <w:shd w:val="clear" w:color="auto" w:fill="auto"/>
            <w:hideMark/>
          </w:tcPr>
          <w:p w14:paraId="4652959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Las botellas para medios de cultivo de 100ml son recipientes de laboratorio diseñados para la preparación, almacenamiento y esterilización de medios de cultivo líquidos, soluciones y reactivos. Generalmente están fabricadas en vidrio borosilicato de alta resistencia térmica y química, lo que les permite soportar procesos de esterilización en autoclave a altas temperaturas y presiones sin deformarse ni liberar contaminantes. Cuentan con paredes transparentes para facilitar la observación del contenido y graduaciones impresas o grabadas para un llenado y medición aproximada del volumen. Están provistas de una boca ancha que facilita el vertido, la adición de componentes y la limpieza interna, además de una tapa o tapón roscado, habitualmente de polipropileno o material similar, con sello hermético y resistente al autoclave. Su diseño es apto para múltiples ciclos de esterilización y manipulación en condiciones de laboratorio, manteniendo la integridad del contenido y evitando fugas. Se requiere que las botellas sean suministradas en vidrio borosilicato de alta calidad, con capacidad de 100ml, graduaciones visibles, boca ancha y tapa resistente a autoclavado</w:t>
            </w:r>
          </w:p>
        </w:tc>
        <w:tc>
          <w:tcPr>
            <w:tcW w:w="541" w:type="dxa"/>
            <w:shd w:val="clear" w:color="auto" w:fill="auto"/>
            <w:hideMark/>
          </w:tcPr>
          <w:p w14:paraId="69426FB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6</w:t>
            </w:r>
          </w:p>
        </w:tc>
        <w:tc>
          <w:tcPr>
            <w:tcW w:w="478" w:type="dxa"/>
            <w:shd w:val="clear" w:color="auto" w:fill="auto"/>
            <w:noWrap/>
            <w:hideMark/>
          </w:tcPr>
          <w:p w14:paraId="34C59F5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C7ECC3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476CF3E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23.000 </w:t>
            </w:r>
          </w:p>
        </w:tc>
        <w:tc>
          <w:tcPr>
            <w:tcW w:w="911" w:type="dxa"/>
            <w:shd w:val="clear" w:color="000000" w:fill="FFFFFF"/>
            <w:noWrap/>
            <w:hideMark/>
          </w:tcPr>
          <w:p w14:paraId="39D5DF47"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138.000 </w:t>
            </w:r>
          </w:p>
        </w:tc>
      </w:tr>
      <w:tr w:rsidR="00581335" w:rsidRPr="002439C6" w14:paraId="5F9D9312" w14:textId="77777777" w:rsidTr="00581335">
        <w:trPr>
          <w:trHeight w:val="5508"/>
        </w:trPr>
        <w:tc>
          <w:tcPr>
            <w:tcW w:w="348" w:type="dxa"/>
            <w:shd w:val="clear" w:color="auto" w:fill="auto"/>
            <w:noWrap/>
            <w:hideMark/>
          </w:tcPr>
          <w:p w14:paraId="1C9A11B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143</w:t>
            </w:r>
          </w:p>
        </w:tc>
        <w:tc>
          <w:tcPr>
            <w:tcW w:w="1632" w:type="dxa"/>
            <w:shd w:val="clear" w:color="auto" w:fill="auto"/>
            <w:hideMark/>
          </w:tcPr>
          <w:p w14:paraId="5DA77D6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Dispensador de medios de cultivo</w:t>
            </w:r>
          </w:p>
        </w:tc>
        <w:tc>
          <w:tcPr>
            <w:tcW w:w="3283" w:type="dxa"/>
            <w:shd w:val="clear" w:color="auto" w:fill="auto"/>
            <w:hideMark/>
          </w:tcPr>
          <w:p w14:paraId="7D82373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 dispensador de medios de cultivo es un equipo de laboratorio diseñado para dosificar de manera rápida, precisa y estéril medios de cultivo líquidos en placas Petri, tubos o frascos, optimizando el tiempo de preparación y reduciendo el riesgo de contaminación. Está compuesto por un sistema de bombeo peristáltico o de pistón, calibrable para entregar volúmenes específicos (generalmente entre 1 ml y 1000 ml) con alta repetibilidad. El medio de cultivo, previamente esterilizado y mantenido a temperatura controlada en un recipiente o depósito interno/externo, es impulsado a través de una manguera estéril hacia una boquilla de dispensación, que puede incorporar filtros de aire para mantener la esterilidad durante la operación. El equipo suele contar con pantalla digital o panel de control o sistema manual para configurar el volumen por dosis, el número de repeticiones y la velocidad de dispensación. Algunos modelos integran un sistema de calentamiento para mantener el medio a la temperatura óptima de vertido (aprox. 45–50 °C para agar), evitando solidificaciones prematuras. El diseño está fabricado en acero inoxidable o materiales resistentes a la corrosión, fácil de limpiar y compatible con procedimientos de desinfección. Se requiere que el dispensador sea suministrado listo para su uso.</w:t>
            </w:r>
          </w:p>
        </w:tc>
        <w:tc>
          <w:tcPr>
            <w:tcW w:w="541" w:type="dxa"/>
            <w:shd w:val="clear" w:color="auto" w:fill="auto"/>
            <w:hideMark/>
          </w:tcPr>
          <w:p w14:paraId="078D740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58A80C3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1E9D9F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435B00B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2.070.000 </w:t>
            </w:r>
          </w:p>
        </w:tc>
        <w:tc>
          <w:tcPr>
            <w:tcW w:w="911" w:type="dxa"/>
            <w:shd w:val="clear" w:color="000000" w:fill="FFFFFF"/>
            <w:noWrap/>
            <w:hideMark/>
          </w:tcPr>
          <w:p w14:paraId="15364FBC"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4.140.000 </w:t>
            </w:r>
          </w:p>
        </w:tc>
      </w:tr>
      <w:tr w:rsidR="00581335" w:rsidRPr="002439C6" w14:paraId="7C442167" w14:textId="77777777" w:rsidTr="00581335">
        <w:trPr>
          <w:trHeight w:val="4896"/>
        </w:trPr>
        <w:tc>
          <w:tcPr>
            <w:tcW w:w="348" w:type="dxa"/>
            <w:shd w:val="clear" w:color="auto" w:fill="auto"/>
            <w:noWrap/>
            <w:hideMark/>
          </w:tcPr>
          <w:p w14:paraId="3B20071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144</w:t>
            </w:r>
          </w:p>
        </w:tc>
        <w:tc>
          <w:tcPr>
            <w:tcW w:w="1632" w:type="dxa"/>
            <w:shd w:val="clear" w:color="auto" w:fill="auto"/>
            <w:hideMark/>
          </w:tcPr>
          <w:p w14:paraId="56BC9FE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Juego de espátulas de Laboratorio</w:t>
            </w:r>
          </w:p>
        </w:tc>
        <w:tc>
          <w:tcPr>
            <w:tcW w:w="3283" w:type="dxa"/>
            <w:shd w:val="clear" w:color="auto" w:fill="auto"/>
            <w:hideMark/>
          </w:tcPr>
          <w:p w14:paraId="1D4F0A4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 xml:space="preserve">Un juego de espátulas de laboratorio es un conjunto de herramientas manuales diseñado para la manipulación, transferencia, mezcla y dosificación de pequeñas cantidades de sólidos, polvos, gránulos, pastas o geles en procedimientos analíticos y preparativos. Están fabricadas en materiales resistentes a la corrosión y a agentes químicos, como acero inoxidable de grado laboratorio o, en versiones desechables, en plásticos de alta calidad como polipropileno. El juego suele incluir espátulas de diferentes longitudes, formas y extremos: rectos, curvos, en cuchara, en hoja plana o en doble punta, lo que permite adaptarse a distintas aplicaciones como la toma de reactivos desde frascos estrechos, la nivelación de polvos en balanzas, la homogenización de muestras o el raspado de superficies. Las versiones metálicas son esterilizables en autoclave y reutilizables, mientras que las plásticas suelen ser estériles y de un solo uso. Se requiere que el juego de espátulas sea suministrado con variedad mínima de seis piezas de diferentes diseños y medidas, fabricadas en materiales resistentes a agentes químicos, aptas para esterilización cuando corresponda. </w:t>
            </w:r>
          </w:p>
        </w:tc>
        <w:tc>
          <w:tcPr>
            <w:tcW w:w="541" w:type="dxa"/>
            <w:shd w:val="clear" w:color="auto" w:fill="auto"/>
            <w:hideMark/>
          </w:tcPr>
          <w:p w14:paraId="7C4A29D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443349E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7EA83E5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176CC51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336.000 </w:t>
            </w:r>
          </w:p>
        </w:tc>
        <w:tc>
          <w:tcPr>
            <w:tcW w:w="911" w:type="dxa"/>
            <w:shd w:val="clear" w:color="000000" w:fill="FFFFFF"/>
            <w:noWrap/>
            <w:hideMark/>
          </w:tcPr>
          <w:p w14:paraId="42D18E12"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672.000 </w:t>
            </w:r>
          </w:p>
        </w:tc>
      </w:tr>
      <w:tr w:rsidR="00581335" w:rsidRPr="002439C6" w14:paraId="249E00C9" w14:textId="77777777" w:rsidTr="00581335">
        <w:trPr>
          <w:trHeight w:val="2448"/>
        </w:trPr>
        <w:tc>
          <w:tcPr>
            <w:tcW w:w="348" w:type="dxa"/>
            <w:shd w:val="clear" w:color="auto" w:fill="auto"/>
            <w:noWrap/>
            <w:hideMark/>
          </w:tcPr>
          <w:p w14:paraId="5CC2569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145</w:t>
            </w:r>
          </w:p>
        </w:tc>
        <w:tc>
          <w:tcPr>
            <w:tcW w:w="1632" w:type="dxa"/>
            <w:shd w:val="clear" w:color="auto" w:fill="auto"/>
            <w:noWrap/>
            <w:hideMark/>
          </w:tcPr>
          <w:p w14:paraId="2680C78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Cinta de papel para autoclavado</w:t>
            </w:r>
          </w:p>
        </w:tc>
        <w:tc>
          <w:tcPr>
            <w:tcW w:w="3283" w:type="dxa"/>
            <w:shd w:val="clear" w:color="auto" w:fill="auto"/>
            <w:hideMark/>
          </w:tcPr>
          <w:p w14:paraId="35737CB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La cinta de papel para autoclavado es un material autoadhesivo fabricado en papel crepado resistente a la humedad y altas temperaturas (121 °C–134 °C), con adhesivo que mantiene la fijación durante la esterilización sin dejar residuos. Incorpora indicadores químicos que cambian de color de forma irreversible al alcanzar las condiciones adecuadas de temperatura y presión, permitiendo verificar visualmente el proceso. Es fácil de rasgar, compatible con distintos materiales de embalaje y se presenta en rollos de varios anchos y longitudes para uso en laboratorios y centros de salud.</w:t>
            </w:r>
          </w:p>
        </w:tc>
        <w:tc>
          <w:tcPr>
            <w:tcW w:w="541" w:type="dxa"/>
            <w:shd w:val="clear" w:color="auto" w:fill="auto"/>
            <w:hideMark/>
          </w:tcPr>
          <w:p w14:paraId="2A84E0F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w:t>
            </w:r>
          </w:p>
        </w:tc>
        <w:tc>
          <w:tcPr>
            <w:tcW w:w="478" w:type="dxa"/>
            <w:shd w:val="clear" w:color="auto" w:fill="auto"/>
            <w:noWrap/>
            <w:hideMark/>
          </w:tcPr>
          <w:p w14:paraId="46B7EF3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961491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443D694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50.500 </w:t>
            </w:r>
          </w:p>
        </w:tc>
        <w:tc>
          <w:tcPr>
            <w:tcW w:w="911" w:type="dxa"/>
            <w:shd w:val="clear" w:color="000000" w:fill="FFFFFF"/>
            <w:noWrap/>
            <w:hideMark/>
          </w:tcPr>
          <w:p w14:paraId="02FC5037"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505.000 </w:t>
            </w:r>
          </w:p>
        </w:tc>
      </w:tr>
      <w:tr w:rsidR="00581335" w:rsidRPr="002439C6" w14:paraId="55FBB1EB" w14:textId="77777777" w:rsidTr="00581335">
        <w:trPr>
          <w:trHeight w:val="4284"/>
        </w:trPr>
        <w:tc>
          <w:tcPr>
            <w:tcW w:w="348" w:type="dxa"/>
            <w:shd w:val="clear" w:color="auto" w:fill="auto"/>
            <w:noWrap/>
            <w:hideMark/>
          </w:tcPr>
          <w:p w14:paraId="5C90D85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146</w:t>
            </w:r>
          </w:p>
        </w:tc>
        <w:tc>
          <w:tcPr>
            <w:tcW w:w="1632" w:type="dxa"/>
            <w:shd w:val="clear" w:color="auto" w:fill="auto"/>
            <w:noWrap/>
            <w:hideMark/>
          </w:tcPr>
          <w:p w14:paraId="3BC870B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Jeringas con filtro</w:t>
            </w:r>
          </w:p>
        </w:tc>
        <w:tc>
          <w:tcPr>
            <w:tcW w:w="3283" w:type="dxa"/>
            <w:shd w:val="clear" w:color="auto" w:fill="auto"/>
            <w:hideMark/>
          </w:tcPr>
          <w:p w14:paraId="1399515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Las jeringas con filtro son dispositivos desechables estériles que integran un filtro de membrana en su extremo, diseñadas para la filtración directa de soluciones antes de su uso en procedimientos analíticos o microbiológicos. Están compuestas por un cuerpo de jeringa de plástico grado médico (habitualmente polipropileno), libre de látex y pirógenos, y un filtro integrado de membrana (por ejemplo, PVDF, PES, nylon o PTFE) con poros de tamaño definido —comúnmente 0,22 µm para esterilización  que retiene partículas y microorganismos en bolsas de 100 unidades o similar. Se utilizan para preparar soluciones libres de contaminantes en laboratorios de microbiología, biología molecular, química y control de calidad, evitando el uso de sistemas de filtración externos y reduciendo riesgos de contaminación. Son de un solo uso, estériles, y están disponibles en diferentes capacidad de 10 ml y tipos de conexión (Luer-Lock o Luer-Slip) para adaptarse a distintos equipos y procedimientos.</w:t>
            </w:r>
          </w:p>
        </w:tc>
        <w:tc>
          <w:tcPr>
            <w:tcW w:w="541" w:type="dxa"/>
            <w:shd w:val="clear" w:color="auto" w:fill="auto"/>
            <w:hideMark/>
          </w:tcPr>
          <w:p w14:paraId="7BD2FC5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3</w:t>
            </w:r>
          </w:p>
        </w:tc>
        <w:tc>
          <w:tcPr>
            <w:tcW w:w="478" w:type="dxa"/>
            <w:shd w:val="clear" w:color="auto" w:fill="auto"/>
            <w:noWrap/>
            <w:hideMark/>
          </w:tcPr>
          <w:p w14:paraId="68270E6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3D60C190"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43EE8EF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320.000 </w:t>
            </w:r>
          </w:p>
        </w:tc>
        <w:tc>
          <w:tcPr>
            <w:tcW w:w="911" w:type="dxa"/>
            <w:shd w:val="clear" w:color="000000" w:fill="FFFFFF"/>
            <w:noWrap/>
            <w:hideMark/>
          </w:tcPr>
          <w:p w14:paraId="31EFC23F"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960.000 </w:t>
            </w:r>
          </w:p>
        </w:tc>
      </w:tr>
      <w:tr w:rsidR="00581335" w:rsidRPr="002439C6" w14:paraId="5ABA9E73" w14:textId="77777777" w:rsidTr="00581335">
        <w:trPr>
          <w:trHeight w:val="4080"/>
        </w:trPr>
        <w:tc>
          <w:tcPr>
            <w:tcW w:w="348" w:type="dxa"/>
            <w:shd w:val="clear" w:color="auto" w:fill="auto"/>
            <w:noWrap/>
            <w:hideMark/>
          </w:tcPr>
          <w:p w14:paraId="33E565B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147</w:t>
            </w:r>
          </w:p>
        </w:tc>
        <w:tc>
          <w:tcPr>
            <w:tcW w:w="1632" w:type="dxa"/>
            <w:shd w:val="clear" w:color="auto" w:fill="auto"/>
            <w:noWrap/>
            <w:hideMark/>
          </w:tcPr>
          <w:p w14:paraId="027B825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Jeringas con filtro</w:t>
            </w:r>
          </w:p>
        </w:tc>
        <w:tc>
          <w:tcPr>
            <w:tcW w:w="3283" w:type="dxa"/>
            <w:shd w:val="clear" w:color="auto" w:fill="auto"/>
            <w:hideMark/>
          </w:tcPr>
          <w:p w14:paraId="5744C05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Las jeringas con filtro son dispositivos desechables estériles que integran un filtro de membrana en su extremo, diseñadas para la filtración directa de soluciones antes de su uso en procedimientos analíticos o microbiológicos. Están compuestas por un cuerpo de jeringa de plástico grado médico (habitualmente polipropileno), libre de látex y pirógenos, y un filtro integrado de membrana (por ejemplo, PVDF, PES, nylon o PTFE) con poros de tamaño definido —comúnmente 0,45 µm   que retiene partículas y microorganismos en bolsas de 100 unidades o similar.  Se utilizan para preparar soluciones libres de contaminantes en laboratorios de microbiología, biología molecular, química y control de calidad, evitando el uso de sistemas de filtración externos y reduciendo riesgos de contaminación. Son de un solo uso, estériles, y están disponibles en diferentes capacidad de 10 ml y tipos de conexión (Luer-Lock o Luer-Slip) para adaptarse a distintos equipos y procedimientos.</w:t>
            </w:r>
          </w:p>
        </w:tc>
        <w:tc>
          <w:tcPr>
            <w:tcW w:w="541" w:type="dxa"/>
            <w:shd w:val="clear" w:color="auto" w:fill="auto"/>
            <w:hideMark/>
          </w:tcPr>
          <w:p w14:paraId="039396F0"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3</w:t>
            </w:r>
          </w:p>
        </w:tc>
        <w:tc>
          <w:tcPr>
            <w:tcW w:w="478" w:type="dxa"/>
            <w:shd w:val="clear" w:color="auto" w:fill="auto"/>
            <w:noWrap/>
            <w:hideMark/>
          </w:tcPr>
          <w:p w14:paraId="50122AB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63FC6FF0"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665F276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250.500 </w:t>
            </w:r>
          </w:p>
        </w:tc>
        <w:tc>
          <w:tcPr>
            <w:tcW w:w="911" w:type="dxa"/>
            <w:shd w:val="clear" w:color="000000" w:fill="FFFFFF"/>
            <w:noWrap/>
            <w:hideMark/>
          </w:tcPr>
          <w:p w14:paraId="6B774C65"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751.500 </w:t>
            </w:r>
          </w:p>
        </w:tc>
      </w:tr>
      <w:tr w:rsidR="00581335" w:rsidRPr="002439C6" w14:paraId="34C42E54" w14:textId="77777777" w:rsidTr="00581335">
        <w:trPr>
          <w:trHeight w:val="3468"/>
        </w:trPr>
        <w:tc>
          <w:tcPr>
            <w:tcW w:w="348" w:type="dxa"/>
            <w:shd w:val="clear" w:color="auto" w:fill="auto"/>
            <w:noWrap/>
            <w:hideMark/>
          </w:tcPr>
          <w:p w14:paraId="445D810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148</w:t>
            </w:r>
          </w:p>
        </w:tc>
        <w:tc>
          <w:tcPr>
            <w:tcW w:w="1632" w:type="dxa"/>
            <w:shd w:val="clear" w:color="auto" w:fill="auto"/>
            <w:hideMark/>
          </w:tcPr>
          <w:p w14:paraId="522B24C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Pipetas graduadas de vidrio</w:t>
            </w:r>
          </w:p>
        </w:tc>
        <w:tc>
          <w:tcPr>
            <w:tcW w:w="3283" w:type="dxa"/>
            <w:shd w:val="clear" w:color="auto" w:fill="auto"/>
            <w:hideMark/>
          </w:tcPr>
          <w:p w14:paraId="5C2E0A0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Pipeta graduada de vidrio de 1 mL</w:t>
            </w:r>
            <w:r w:rsidRPr="002439C6">
              <w:rPr>
                <w:rFonts w:ascii="Arial" w:eastAsia="Times New Roman" w:hAnsi="Arial" w:cs="Arial"/>
                <w:color w:val="000000"/>
                <w:sz w:val="16"/>
                <w:szCs w:val="16"/>
                <w:lang w:eastAsia="es-PY"/>
              </w:rPr>
              <w:br/>
              <w:t>Instrumento de medición volumétrica reutilizable fabricado en vidrio borosilicato de alta resistencia térmica y química, diseñado para la medición y transferencia precisa de pequeños volúmenes de líquidos en laboratorio. Presenta graduaciones impresas o grabadas de forma permanente, resistentes a solventes y de alta visibilidad, que permiten lecturas exactas en mililitros. Puede ser de drenaje total (TD) o drenaje parcial (TC), con sistema de descarga por gravedad o por soplado según las normas aplicables (ASTM, ISO). El extremo inferior es estrecho para facilitar el control del flujo, mientras que el extremo superior está adaptado para su uso con propipetas manuales o automáticas. Puede suministrarse estéril o no estéril y es apta para esterilización en autoclave.</w:t>
            </w:r>
          </w:p>
        </w:tc>
        <w:tc>
          <w:tcPr>
            <w:tcW w:w="541" w:type="dxa"/>
            <w:shd w:val="clear" w:color="auto" w:fill="auto"/>
            <w:hideMark/>
          </w:tcPr>
          <w:p w14:paraId="6D44A44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3</w:t>
            </w:r>
          </w:p>
        </w:tc>
        <w:tc>
          <w:tcPr>
            <w:tcW w:w="478" w:type="dxa"/>
            <w:shd w:val="clear" w:color="auto" w:fill="auto"/>
            <w:noWrap/>
            <w:hideMark/>
          </w:tcPr>
          <w:p w14:paraId="7D5F5F4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ED63F9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C5365B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16.000 </w:t>
            </w:r>
          </w:p>
        </w:tc>
        <w:tc>
          <w:tcPr>
            <w:tcW w:w="911" w:type="dxa"/>
            <w:shd w:val="clear" w:color="000000" w:fill="FFFFFF"/>
            <w:noWrap/>
            <w:hideMark/>
          </w:tcPr>
          <w:p w14:paraId="7672FF97"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48.000 </w:t>
            </w:r>
          </w:p>
        </w:tc>
      </w:tr>
      <w:tr w:rsidR="00581335" w:rsidRPr="002439C6" w14:paraId="42A39BCD" w14:textId="77777777" w:rsidTr="00581335">
        <w:trPr>
          <w:trHeight w:val="2856"/>
        </w:trPr>
        <w:tc>
          <w:tcPr>
            <w:tcW w:w="348" w:type="dxa"/>
            <w:shd w:val="clear" w:color="auto" w:fill="auto"/>
            <w:noWrap/>
            <w:hideMark/>
          </w:tcPr>
          <w:p w14:paraId="65322AB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149</w:t>
            </w:r>
          </w:p>
        </w:tc>
        <w:tc>
          <w:tcPr>
            <w:tcW w:w="1632" w:type="dxa"/>
            <w:shd w:val="clear" w:color="auto" w:fill="auto"/>
            <w:hideMark/>
          </w:tcPr>
          <w:p w14:paraId="509CFB3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Pipetas graduadas de vidrio</w:t>
            </w:r>
          </w:p>
        </w:tc>
        <w:tc>
          <w:tcPr>
            <w:tcW w:w="3283" w:type="dxa"/>
            <w:shd w:val="clear" w:color="000000" w:fill="FFFFFF"/>
            <w:hideMark/>
          </w:tcPr>
          <w:p w14:paraId="315ED6F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Pipeta graduada de vidrio de 2 mL</w:t>
            </w:r>
            <w:r w:rsidRPr="002439C6">
              <w:rPr>
                <w:rFonts w:eastAsia="Times New Roman" w:cs="Calibri"/>
                <w:color w:val="000000"/>
                <w:sz w:val="16"/>
                <w:szCs w:val="16"/>
                <w:lang w:eastAsia="es-PY"/>
              </w:rPr>
              <w:br/>
              <w:t>Instrumento de medición volumétrica reutilizable fabricado en vidrio borosilicato, resistente a altas temperaturas y a agentes químicos. Está diseñada para la medición y transferencia precisa de líquidos en procedimientos experimentales de laboratorio. Presenta graduaciones permanentes claramente visibles, resistentes al desgaste y a solventes. Puede ser de drenaje total (TD) o drenaje parcial (TC) según especificaciones normativas (ASTM, ISO). El extremo inferior estrecho permite un control preciso del flujo, y el extremo superior está adaptado para propipetas o dispositivos de pipeteo. Puede esterilizarse en autoclave.</w:t>
            </w:r>
          </w:p>
        </w:tc>
        <w:tc>
          <w:tcPr>
            <w:tcW w:w="541" w:type="dxa"/>
            <w:shd w:val="clear" w:color="auto" w:fill="auto"/>
            <w:hideMark/>
          </w:tcPr>
          <w:p w14:paraId="1E6A3F2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3</w:t>
            </w:r>
          </w:p>
        </w:tc>
        <w:tc>
          <w:tcPr>
            <w:tcW w:w="478" w:type="dxa"/>
            <w:shd w:val="clear" w:color="auto" w:fill="auto"/>
            <w:noWrap/>
            <w:hideMark/>
          </w:tcPr>
          <w:p w14:paraId="6D05076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74F973D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000000" w:fill="FFFFFF"/>
            <w:noWrap/>
            <w:hideMark/>
          </w:tcPr>
          <w:p w14:paraId="20DD401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16.000 </w:t>
            </w:r>
          </w:p>
        </w:tc>
        <w:tc>
          <w:tcPr>
            <w:tcW w:w="911" w:type="dxa"/>
            <w:shd w:val="clear" w:color="000000" w:fill="FFFFFF"/>
            <w:noWrap/>
            <w:hideMark/>
          </w:tcPr>
          <w:p w14:paraId="62F0957C"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48.000 </w:t>
            </w:r>
          </w:p>
        </w:tc>
      </w:tr>
      <w:tr w:rsidR="00581335" w:rsidRPr="002439C6" w14:paraId="3EEF5E1B" w14:textId="77777777" w:rsidTr="00581335">
        <w:trPr>
          <w:trHeight w:val="2652"/>
        </w:trPr>
        <w:tc>
          <w:tcPr>
            <w:tcW w:w="348" w:type="dxa"/>
            <w:shd w:val="clear" w:color="auto" w:fill="auto"/>
            <w:noWrap/>
            <w:hideMark/>
          </w:tcPr>
          <w:p w14:paraId="199CD49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150</w:t>
            </w:r>
          </w:p>
        </w:tc>
        <w:tc>
          <w:tcPr>
            <w:tcW w:w="1632" w:type="dxa"/>
            <w:shd w:val="clear" w:color="auto" w:fill="auto"/>
            <w:hideMark/>
          </w:tcPr>
          <w:p w14:paraId="3093E1B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Pipetas graduadas de vidrio</w:t>
            </w:r>
          </w:p>
        </w:tc>
        <w:tc>
          <w:tcPr>
            <w:tcW w:w="3283" w:type="dxa"/>
            <w:shd w:val="clear" w:color="auto" w:fill="auto"/>
            <w:hideMark/>
          </w:tcPr>
          <w:p w14:paraId="3447334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Pipeta graduada de vidrio de 5 mL</w:t>
            </w:r>
            <w:r w:rsidRPr="002439C6">
              <w:rPr>
                <w:rFonts w:eastAsia="Times New Roman" w:cs="Calibri"/>
                <w:color w:val="000000"/>
                <w:sz w:val="16"/>
                <w:szCs w:val="16"/>
                <w:lang w:eastAsia="es-PY"/>
              </w:rPr>
              <w:br/>
              <w:t>Instrumento volumétrico reutilizable fabricado en vidrio borosilicato de alta calidad, diseñado para la medición y transferencia de volúmenes intermedios de líquidos en trabajos de laboratorio. Posee graduaciones grabadas o impresas permanentemente, de alta visibilidad y resistencia a solventes. Puede ser TD o TC, con descarga por gravedad o soplado conforme a normas ASTM o ISO. El extremo inferior estrecho facilita el control del flujo de líquido, y el extremo superior permite su utilización con propipetas manuales o automáticas. Es resistente a esterilización en autoclave.</w:t>
            </w:r>
          </w:p>
        </w:tc>
        <w:tc>
          <w:tcPr>
            <w:tcW w:w="541" w:type="dxa"/>
            <w:shd w:val="clear" w:color="auto" w:fill="auto"/>
            <w:hideMark/>
          </w:tcPr>
          <w:p w14:paraId="2A86DFB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3</w:t>
            </w:r>
          </w:p>
        </w:tc>
        <w:tc>
          <w:tcPr>
            <w:tcW w:w="478" w:type="dxa"/>
            <w:shd w:val="clear" w:color="auto" w:fill="auto"/>
            <w:noWrap/>
            <w:hideMark/>
          </w:tcPr>
          <w:p w14:paraId="13406C4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2986DDF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35FE6EC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17.500 </w:t>
            </w:r>
          </w:p>
        </w:tc>
        <w:tc>
          <w:tcPr>
            <w:tcW w:w="911" w:type="dxa"/>
            <w:shd w:val="clear" w:color="000000" w:fill="FFFFFF"/>
            <w:noWrap/>
            <w:hideMark/>
          </w:tcPr>
          <w:p w14:paraId="7CED840A"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52.500 </w:t>
            </w:r>
          </w:p>
        </w:tc>
      </w:tr>
      <w:tr w:rsidR="00581335" w:rsidRPr="002439C6" w14:paraId="0FE517F9" w14:textId="77777777" w:rsidTr="00581335">
        <w:trPr>
          <w:trHeight w:val="2448"/>
        </w:trPr>
        <w:tc>
          <w:tcPr>
            <w:tcW w:w="348" w:type="dxa"/>
            <w:shd w:val="clear" w:color="auto" w:fill="auto"/>
            <w:noWrap/>
            <w:hideMark/>
          </w:tcPr>
          <w:p w14:paraId="7FFA0FF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151</w:t>
            </w:r>
          </w:p>
        </w:tc>
        <w:tc>
          <w:tcPr>
            <w:tcW w:w="1632" w:type="dxa"/>
            <w:shd w:val="clear" w:color="auto" w:fill="auto"/>
            <w:hideMark/>
          </w:tcPr>
          <w:p w14:paraId="3744697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Pipetas graduadas de vidrio</w:t>
            </w:r>
          </w:p>
        </w:tc>
        <w:tc>
          <w:tcPr>
            <w:tcW w:w="3283" w:type="dxa"/>
            <w:shd w:val="clear" w:color="auto" w:fill="auto"/>
            <w:hideMark/>
          </w:tcPr>
          <w:p w14:paraId="568F3DD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Pipeta graduada de vidrio de 10 mL</w:t>
            </w:r>
            <w:r w:rsidRPr="002439C6">
              <w:rPr>
                <w:rFonts w:eastAsia="Times New Roman" w:cs="Calibri"/>
                <w:color w:val="000000"/>
                <w:sz w:val="16"/>
                <w:szCs w:val="16"/>
                <w:lang w:eastAsia="es-PY"/>
              </w:rPr>
              <w:br/>
              <w:t>Instrumento volumétrico reutilizable fabricado en vidrio borosilicato de alta resistencia térmica y química, utilizado para la medición y transferencia de volúmenes mayores de líquidos en laboratorio. Presenta graduaciones permanentes de alta visibilidad, resistentes a solventes. Puede ser TD o TC, con descarga por gravedad o soplado según normativa ASTM o ISO. El diseño incluye extremo inferior estrecho para control del flujo y extremo superior compatible con propipetas. Es apta para esterilización en autoclave.</w:t>
            </w:r>
          </w:p>
        </w:tc>
        <w:tc>
          <w:tcPr>
            <w:tcW w:w="541" w:type="dxa"/>
            <w:shd w:val="clear" w:color="auto" w:fill="auto"/>
            <w:hideMark/>
          </w:tcPr>
          <w:p w14:paraId="5045519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3</w:t>
            </w:r>
          </w:p>
        </w:tc>
        <w:tc>
          <w:tcPr>
            <w:tcW w:w="478" w:type="dxa"/>
            <w:shd w:val="clear" w:color="auto" w:fill="auto"/>
            <w:noWrap/>
            <w:hideMark/>
          </w:tcPr>
          <w:p w14:paraId="0E5866A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7065CE4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CA6946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19.000 </w:t>
            </w:r>
          </w:p>
        </w:tc>
        <w:tc>
          <w:tcPr>
            <w:tcW w:w="911" w:type="dxa"/>
            <w:shd w:val="clear" w:color="000000" w:fill="FFFFFF"/>
            <w:noWrap/>
            <w:hideMark/>
          </w:tcPr>
          <w:p w14:paraId="6D9889A3"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57.000 </w:t>
            </w:r>
          </w:p>
        </w:tc>
      </w:tr>
      <w:tr w:rsidR="00581335" w:rsidRPr="002439C6" w14:paraId="137552B3" w14:textId="77777777" w:rsidTr="00581335">
        <w:trPr>
          <w:trHeight w:val="2448"/>
        </w:trPr>
        <w:tc>
          <w:tcPr>
            <w:tcW w:w="348" w:type="dxa"/>
            <w:shd w:val="clear" w:color="auto" w:fill="auto"/>
            <w:noWrap/>
            <w:hideMark/>
          </w:tcPr>
          <w:p w14:paraId="62D5525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152</w:t>
            </w:r>
          </w:p>
        </w:tc>
        <w:tc>
          <w:tcPr>
            <w:tcW w:w="1632" w:type="dxa"/>
            <w:shd w:val="clear" w:color="auto" w:fill="auto"/>
            <w:hideMark/>
          </w:tcPr>
          <w:p w14:paraId="2CC4DE3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Pipetas graduadas de vidrio</w:t>
            </w:r>
          </w:p>
        </w:tc>
        <w:tc>
          <w:tcPr>
            <w:tcW w:w="3283" w:type="dxa"/>
            <w:shd w:val="clear" w:color="auto" w:fill="auto"/>
            <w:hideMark/>
          </w:tcPr>
          <w:p w14:paraId="178E0BE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Pipeta graduada de vidrio de 25 mL</w:t>
            </w:r>
            <w:r w:rsidRPr="002439C6">
              <w:rPr>
                <w:rFonts w:eastAsia="Times New Roman" w:cs="Calibri"/>
                <w:color w:val="000000"/>
                <w:sz w:val="16"/>
                <w:szCs w:val="16"/>
                <w:lang w:eastAsia="es-PY"/>
              </w:rPr>
              <w:br/>
              <w:t>Instrumento volumétrico reutilizable fabricado en vidrio borosilicato de alta resistencia térmica y química, utilizado para la medición y transferencia de volúmenes mayores de líquidos en laboratorio. Presenta graduaciones permanentes de alta visibilidad, resistentes a solventes. Puede ser TD o TC, con descarga por gravedad o soplado según normativa ASTM o ISO. El diseño incluye extremo inferior estrecho para control del flujo y extremo superior compatible con propipetas. Es apta para esterilización en autoclave.</w:t>
            </w:r>
          </w:p>
        </w:tc>
        <w:tc>
          <w:tcPr>
            <w:tcW w:w="541" w:type="dxa"/>
            <w:shd w:val="clear" w:color="auto" w:fill="auto"/>
            <w:hideMark/>
          </w:tcPr>
          <w:p w14:paraId="3F6B2C3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3</w:t>
            </w:r>
          </w:p>
        </w:tc>
        <w:tc>
          <w:tcPr>
            <w:tcW w:w="478" w:type="dxa"/>
            <w:shd w:val="clear" w:color="auto" w:fill="auto"/>
            <w:noWrap/>
            <w:hideMark/>
          </w:tcPr>
          <w:p w14:paraId="0D8BA2D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0F273F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305863A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28.500 </w:t>
            </w:r>
          </w:p>
        </w:tc>
        <w:tc>
          <w:tcPr>
            <w:tcW w:w="911" w:type="dxa"/>
            <w:shd w:val="clear" w:color="000000" w:fill="FFFFFF"/>
            <w:noWrap/>
            <w:hideMark/>
          </w:tcPr>
          <w:p w14:paraId="49F33CEE"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85.500 </w:t>
            </w:r>
          </w:p>
        </w:tc>
      </w:tr>
      <w:tr w:rsidR="00581335" w:rsidRPr="002439C6" w14:paraId="2A3571E5" w14:textId="77777777" w:rsidTr="00581335">
        <w:trPr>
          <w:trHeight w:val="3672"/>
        </w:trPr>
        <w:tc>
          <w:tcPr>
            <w:tcW w:w="348" w:type="dxa"/>
            <w:shd w:val="clear" w:color="auto" w:fill="auto"/>
            <w:noWrap/>
            <w:hideMark/>
          </w:tcPr>
          <w:p w14:paraId="16F2678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153</w:t>
            </w:r>
          </w:p>
        </w:tc>
        <w:tc>
          <w:tcPr>
            <w:tcW w:w="1632" w:type="dxa"/>
            <w:shd w:val="clear" w:color="auto" w:fill="auto"/>
            <w:noWrap/>
            <w:hideMark/>
          </w:tcPr>
          <w:p w14:paraId="6C79AED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Gotero de vidrio ámbar de 25 mL</w:t>
            </w:r>
          </w:p>
        </w:tc>
        <w:tc>
          <w:tcPr>
            <w:tcW w:w="3283" w:type="dxa"/>
            <w:shd w:val="clear" w:color="auto" w:fill="auto"/>
            <w:hideMark/>
          </w:tcPr>
          <w:p w14:paraId="1334FB9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Recipiente de laboratorio fabricado en vidrio borosilicato color ámbar, diseñado para el almacenamiento y dispensación controlada de líquidos mediante sistema de goteo. El vidrio ámbar proporciona protección frente a la luz ultravioleta y visible, lo que permite preservar la estabilidad de sustancias fotosensibles, como colorantes, reactivos químicos o soluciones biológicas. El frasco presenta una capacidad aproximada de 25 mL, boca roscada y tapa generalmente de plástico o baquelita con pipeta gotero integrada de vidrio, equipada con bulbo de goma o silicona que permite aspirar y dispensar pequeñas cantidades de líquido en forma de gotas. El diseño facilita la dosificación precisa y controlada, evitando derrames y contaminación. Es resistente a solventes y reactivos comunes de laboratorio, reutilizable y apto para limpieza y esterilización según la naturaleza del contenido.</w:t>
            </w:r>
          </w:p>
        </w:tc>
        <w:tc>
          <w:tcPr>
            <w:tcW w:w="541" w:type="dxa"/>
            <w:shd w:val="clear" w:color="auto" w:fill="auto"/>
            <w:hideMark/>
          </w:tcPr>
          <w:p w14:paraId="72A4C45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6</w:t>
            </w:r>
          </w:p>
        </w:tc>
        <w:tc>
          <w:tcPr>
            <w:tcW w:w="478" w:type="dxa"/>
            <w:shd w:val="clear" w:color="auto" w:fill="auto"/>
            <w:noWrap/>
            <w:hideMark/>
          </w:tcPr>
          <w:p w14:paraId="360E354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5A1F74D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3D2E40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15.000 </w:t>
            </w:r>
          </w:p>
        </w:tc>
        <w:tc>
          <w:tcPr>
            <w:tcW w:w="911" w:type="dxa"/>
            <w:shd w:val="clear" w:color="000000" w:fill="FFFFFF"/>
            <w:noWrap/>
            <w:hideMark/>
          </w:tcPr>
          <w:p w14:paraId="4C81CA29"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90.000 </w:t>
            </w:r>
          </w:p>
        </w:tc>
      </w:tr>
      <w:tr w:rsidR="00581335" w:rsidRPr="002439C6" w14:paraId="20501958" w14:textId="77777777" w:rsidTr="00581335">
        <w:trPr>
          <w:trHeight w:val="3672"/>
        </w:trPr>
        <w:tc>
          <w:tcPr>
            <w:tcW w:w="348" w:type="dxa"/>
            <w:shd w:val="clear" w:color="auto" w:fill="auto"/>
            <w:noWrap/>
            <w:hideMark/>
          </w:tcPr>
          <w:p w14:paraId="5F5F205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154</w:t>
            </w:r>
          </w:p>
        </w:tc>
        <w:tc>
          <w:tcPr>
            <w:tcW w:w="1632" w:type="dxa"/>
            <w:shd w:val="clear" w:color="auto" w:fill="auto"/>
            <w:noWrap/>
            <w:hideMark/>
          </w:tcPr>
          <w:p w14:paraId="5F69057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Gotero de vidrio ámbar de 50 mL</w:t>
            </w:r>
          </w:p>
        </w:tc>
        <w:tc>
          <w:tcPr>
            <w:tcW w:w="3283" w:type="dxa"/>
            <w:shd w:val="clear" w:color="auto" w:fill="auto"/>
            <w:hideMark/>
          </w:tcPr>
          <w:p w14:paraId="5B02BDB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Recipiente de laboratorio fabricado en vidrio borosilicato color ámbar, utilizado para el almacenamiento, conservación y dispensación controlada de soluciones líquidas sensibles a la luz. Presenta una capacidad aproximada de 50 mL y cuenta con boca roscada que incorpora un sistema de pipeta gotero de vidrio con bulbo flexible, generalmente de goma o silicona, que permite aspirar y liberar el líquido en forma de gotas. El vidrio ámbar protege el contenido frente a la degradación causada por la exposición a la luz, lo que lo hace adecuado para soluciones químicas, reactivos, colorantes o extractos. Su estructura es resistente a agentes químicos y variaciones de temperatura, lo que permite su reutilización en entornos de laboratorio. El sistema de goteo facilita una dosificación controlada y segura, minimizando el riesgo de contaminación o derrame durante su uso.</w:t>
            </w:r>
          </w:p>
        </w:tc>
        <w:tc>
          <w:tcPr>
            <w:tcW w:w="541" w:type="dxa"/>
            <w:shd w:val="clear" w:color="auto" w:fill="auto"/>
            <w:hideMark/>
          </w:tcPr>
          <w:p w14:paraId="133493A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3</w:t>
            </w:r>
          </w:p>
        </w:tc>
        <w:tc>
          <w:tcPr>
            <w:tcW w:w="478" w:type="dxa"/>
            <w:shd w:val="clear" w:color="auto" w:fill="auto"/>
            <w:noWrap/>
            <w:hideMark/>
          </w:tcPr>
          <w:p w14:paraId="63126CA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54DE1DF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6830D03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16.500 </w:t>
            </w:r>
          </w:p>
        </w:tc>
        <w:tc>
          <w:tcPr>
            <w:tcW w:w="911" w:type="dxa"/>
            <w:shd w:val="clear" w:color="000000" w:fill="FFFFFF"/>
            <w:noWrap/>
            <w:hideMark/>
          </w:tcPr>
          <w:p w14:paraId="33B0CA5D"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49.500 </w:t>
            </w:r>
          </w:p>
        </w:tc>
      </w:tr>
      <w:tr w:rsidR="00581335" w:rsidRPr="002439C6" w14:paraId="07D227B2" w14:textId="77777777" w:rsidTr="00581335">
        <w:trPr>
          <w:trHeight w:val="5916"/>
        </w:trPr>
        <w:tc>
          <w:tcPr>
            <w:tcW w:w="348" w:type="dxa"/>
            <w:shd w:val="clear" w:color="auto" w:fill="auto"/>
            <w:noWrap/>
            <w:hideMark/>
          </w:tcPr>
          <w:p w14:paraId="3BE90A5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155</w:t>
            </w:r>
          </w:p>
        </w:tc>
        <w:tc>
          <w:tcPr>
            <w:tcW w:w="1632" w:type="dxa"/>
            <w:shd w:val="clear" w:color="auto" w:fill="auto"/>
            <w:noWrap/>
            <w:hideMark/>
          </w:tcPr>
          <w:p w14:paraId="763F002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Papel de aluminio en rollo</w:t>
            </w:r>
          </w:p>
        </w:tc>
        <w:tc>
          <w:tcPr>
            <w:tcW w:w="3283" w:type="dxa"/>
            <w:shd w:val="clear" w:color="auto" w:fill="auto"/>
            <w:hideMark/>
          </w:tcPr>
          <w:p w14:paraId="69F6A43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Lámina delgada de aluminio de alta pureza, presentada en rollo de 30 cm de ancho y 100 m de longitud, utilizada en laboratorio para cubrir, proteger, envolver o sellar recipientes, materiales y muestras experimentales. El material se caracteriza por su alta maleabilidad, resistencia térmica y estabilidad química, lo que permite su utilización en diversos procedimientos de laboratorio.Su superficie metálica proporciona una barrera eficaz contra la humedad, gases, polvo y exposición a la luz, por lo que resulta adecuado para proteger sustancias fotosensibles y evitar contaminación externa. La flexibilidad del material permite adaptarse fácilmente a diferentes formas y recipientes, como matraces, frascos, tubos de ensayo, placas de Petri u otros materiales de laboratorio. El papel de aluminio es resistente a temperaturas elevadas, lo que permite su uso en procesos de calentamiento moderado, esterilización o protección de materiales durante incubación. Asimismo, puede emplearse para envolver instrumental o cubrir recipientes durante procesos de autoclave, dependiendo de las condiciones de uso. El producto se presenta en caja con varias unidades de rollos, lo que facilita su almacenamiento y suministro continuo en el laboratorio. Es ampliamente utilizado en laboratorios de microbiología, química, biotecnología y control de calidad, debido a su versatilidad, facilidad de manipulación y </w:t>
            </w:r>
            <w:r w:rsidRPr="002439C6">
              <w:rPr>
                <w:rFonts w:eastAsia="Times New Roman" w:cs="Calibri"/>
                <w:color w:val="000000"/>
                <w:sz w:val="16"/>
                <w:szCs w:val="16"/>
                <w:lang w:eastAsia="es-PY"/>
              </w:rPr>
              <w:lastRenderedPageBreak/>
              <w:t>capacidad de protección de muestras y materiales.</w:t>
            </w:r>
          </w:p>
        </w:tc>
        <w:tc>
          <w:tcPr>
            <w:tcW w:w="541" w:type="dxa"/>
            <w:shd w:val="clear" w:color="auto" w:fill="auto"/>
            <w:hideMark/>
          </w:tcPr>
          <w:p w14:paraId="3608064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lastRenderedPageBreak/>
              <w:t>5</w:t>
            </w:r>
          </w:p>
        </w:tc>
        <w:tc>
          <w:tcPr>
            <w:tcW w:w="478" w:type="dxa"/>
            <w:shd w:val="clear" w:color="auto" w:fill="auto"/>
            <w:noWrap/>
            <w:hideMark/>
          </w:tcPr>
          <w:p w14:paraId="6CE612F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5172252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2309505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155.500 </w:t>
            </w:r>
          </w:p>
        </w:tc>
        <w:tc>
          <w:tcPr>
            <w:tcW w:w="911" w:type="dxa"/>
            <w:shd w:val="clear" w:color="000000" w:fill="FFFFFF"/>
            <w:noWrap/>
            <w:hideMark/>
          </w:tcPr>
          <w:p w14:paraId="375D0D40"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777.500 </w:t>
            </w:r>
          </w:p>
        </w:tc>
      </w:tr>
      <w:tr w:rsidR="00581335" w:rsidRPr="002439C6" w14:paraId="4C7E0632" w14:textId="77777777" w:rsidTr="00581335">
        <w:trPr>
          <w:trHeight w:val="1836"/>
        </w:trPr>
        <w:tc>
          <w:tcPr>
            <w:tcW w:w="348" w:type="dxa"/>
            <w:shd w:val="clear" w:color="auto" w:fill="auto"/>
            <w:noWrap/>
            <w:hideMark/>
          </w:tcPr>
          <w:p w14:paraId="24498A2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156</w:t>
            </w:r>
          </w:p>
        </w:tc>
        <w:tc>
          <w:tcPr>
            <w:tcW w:w="1632" w:type="dxa"/>
            <w:shd w:val="clear" w:color="auto" w:fill="auto"/>
            <w:noWrap/>
            <w:hideMark/>
          </w:tcPr>
          <w:p w14:paraId="3446576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Guantes de nitrilo sin talco </w:t>
            </w:r>
          </w:p>
        </w:tc>
        <w:tc>
          <w:tcPr>
            <w:tcW w:w="3283" w:type="dxa"/>
            <w:shd w:val="clear" w:color="auto" w:fill="auto"/>
            <w:hideMark/>
          </w:tcPr>
          <w:p w14:paraId="0994FF9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Guantes de nitrilo  premium sin talco Guantes desechables de nitrilo sintético de alta resistencia, color negro, talla S (pequeño), libres de látex y sin talco, que ofrecen excelente sensibilidad táctil y resistencia a perforaciones y productos químicos. Presentación en caja de 100 unidades, ideales para trabajos de laboratorio, microbiología, análisis químicos y manipulación de muestras, minimizando el riesgo de contaminación y reacciones alérgicas.</w:t>
            </w:r>
          </w:p>
        </w:tc>
        <w:tc>
          <w:tcPr>
            <w:tcW w:w="541" w:type="dxa"/>
            <w:shd w:val="clear" w:color="auto" w:fill="auto"/>
            <w:hideMark/>
          </w:tcPr>
          <w:p w14:paraId="341D00A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50</w:t>
            </w:r>
          </w:p>
        </w:tc>
        <w:tc>
          <w:tcPr>
            <w:tcW w:w="478" w:type="dxa"/>
            <w:shd w:val="clear" w:color="auto" w:fill="auto"/>
            <w:noWrap/>
            <w:hideMark/>
          </w:tcPr>
          <w:p w14:paraId="57AF734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00E6CF8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Caja</w:t>
            </w:r>
          </w:p>
        </w:tc>
        <w:tc>
          <w:tcPr>
            <w:tcW w:w="911" w:type="dxa"/>
            <w:shd w:val="clear" w:color="auto" w:fill="auto"/>
            <w:noWrap/>
            <w:hideMark/>
          </w:tcPr>
          <w:p w14:paraId="31B51CC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99.500 </w:t>
            </w:r>
          </w:p>
        </w:tc>
        <w:tc>
          <w:tcPr>
            <w:tcW w:w="911" w:type="dxa"/>
            <w:shd w:val="clear" w:color="000000" w:fill="FFFFFF"/>
            <w:noWrap/>
            <w:hideMark/>
          </w:tcPr>
          <w:p w14:paraId="0C1CEB5D"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4.975.000 </w:t>
            </w:r>
          </w:p>
        </w:tc>
      </w:tr>
      <w:tr w:rsidR="00581335" w:rsidRPr="002439C6" w14:paraId="0F397CD1" w14:textId="77777777" w:rsidTr="00581335">
        <w:trPr>
          <w:trHeight w:val="1836"/>
        </w:trPr>
        <w:tc>
          <w:tcPr>
            <w:tcW w:w="348" w:type="dxa"/>
            <w:shd w:val="clear" w:color="auto" w:fill="auto"/>
            <w:noWrap/>
            <w:hideMark/>
          </w:tcPr>
          <w:p w14:paraId="19C07F3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157</w:t>
            </w:r>
          </w:p>
        </w:tc>
        <w:tc>
          <w:tcPr>
            <w:tcW w:w="1632" w:type="dxa"/>
            <w:shd w:val="clear" w:color="auto" w:fill="auto"/>
            <w:noWrap/>
            <w:hideMark/>
          </w:tcPr>
          <w:p w14:paraId="08DD81C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Guantes de nitrilo sin talco </w:t>
            </w:r>
          </w:p>
        </w:tc>
        <w:tc>
          <w:tcPr>
            <w:tcW w:w="3283" w:type="dxa"/>
            <w:shd w:val="clear" w:color="auto" w:fill="auto"/>
            <w:hideMark/>
          </w:tcPr>
          <w:p w14:paraId="34C8817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Guantes de nitrilo  premium sin talco Guantes desechables de nitrilo sintético de alta resistencia, color negro, talla M (mediano), libres de látex y sin talco, que ofrecen excelente sensibilidad táctil y resistencia a perforaciones y productos químicos. Presentación en caja de 100 unidades, ideales para trabajos de laboratorio, microbiología, análisis químicos y manipulación de muestras, minimizando el riesgo de contaminación y reacciones alérgicas.</w:t>
            </w:r>
          </w:p>
        </w:tc>
        <w:tc>
          <w:tcPr>
            <w:tcW w:w="541" w:type="dxa"/>
            <w:shd w:val="clear" w:color="auto" w:fill="auto"/>
            <w:hideMark/>
          </w:tcPr>
          <w:p w14:paraId="0B1C7C3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50</w:t>
            </w:r>
          </w:p>
        </w:tc>
        <w:tc>
          <w:tcPr>
            <w:tcW w:w="478" w:type="dxa"/>
            <w:shd w:val="clear" w:color="auto" w:fill="auto"/>
            <w:noWrap/>
            <w:hideMark/>
          </w:tcPr>
          <w:p w14:paraId="5ED621B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57D8849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Caja</w:t>
            </w:r>
          </w:p>
        </w:tc>
        <w:tc>
          <w:tcPr>
            <w:tcW w:w="911" w:type="dxa"/>
            <w:shd w:val="clear" w:color="auto" w:fill="auto"/>
            <w:noWrap/>
            <w:hideMark/>
          </w:tcPr>
          <w:p w14:paraId="286321D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99.500 </w:t>
            </w:r>
          </w:p>
        </w:tc>
        <w:tc>
          <w:tcPr>
            <w:tcW w:w="911" w:type="dxa"/>
            <w:shd w:val="clear" w:color="000000" w:fill="FFFFFF"/>
            <w:noWrap/>
            <w:hideMark/>
          </w:tcPr>
          <w:p w14:paraId="7E153905"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4.975.000 </w:t>
            </w:r>
          </w:p>
        </w:tc>
      </w:tr>
      <w:tr w:rsidR="00581335" w:rsidRPr="002439C6" w14:paraId="4F92B78F" w14:textId="77777777" w:rsidTr="00581335">
        <w:trPr>
          <w:trHeight w:val="1836"/>
        </w:trPr>
        <w:tc>
          <w:tcPr>
            <w:tcW w:w="348" w:type="dxa"/>
            <w:shd w:val="clear" w:color="auto" w:fill="auto"/>
            <w:noWrap/>
            <w:hideMark/>
          </w:tcPr>
          <w:p w14:paraId="2B76051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158</w:t>
            </w:r>
          </w:p>
        </w:tc>
        <w:tc>
          <w:tcPr>
            <w:tcW w:w="1632" w:type="dxa"/>
            <w:shd w:val="clear" w:color="auto" w:fill="auto"/>
            <w:noWrap/>
            <w:hideMark/>
          </w:tcPr>
          <w:p w14:paraId="69AF034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Guantes de nitrilo sin talco </w:t>
            </w:r>
          </w:p>
        </w:tc>
        <w:tc>
          <w:tcPr>
            <w:tcW w:w="3283" w:type="dxa"/>
            <w:shd w:val="clear" w:color="auto" w:fill="auto"/>
            <w:hideMark/>
          </w:tcPr>
          <w:p w14:paraId="7A1E6BA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Guantes de nitrilo  premium sin talco Guantes desechables de nitrilo sintético de alta resistencia, color negro, talla M (mediano), libres de látex y sin talco, que ofrecen excelente sensibilidad táctil y resistencia a perforaciones y productos químicos. Presentación en caja de 100 unidades, ideales para trabajos de laboratorio, microbiología, análisis químicos y manipulación de muestras, minimizando el riesgo de contaminación y reacciones alérgicas.</w:t>
            </w:r>
          </w:p>
        </w:tc>
        <w:tc>
          <w:tcPr>
            <w:tcW w:w="541" w:type="dxa"/>
            <w:shd w:val="clear" w:color="auto" w:fill="auto"/>
            <w:hideMark/>
          </w:tcPr>
          <w:p w14:paraId="7C15A95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50</w:t>
            </w:r>
          </w:p>
        </w:tc>
        <w:tc>
          <w:tcPr>
            <w:tcW w:w="478" w:type="dxa"/>
            <w:shd w:val="clear" w:color="auto" w:fill="auto"/>
            <w:noWrap/>
            <w:hideMark/>
          </w:tcPr>
          <w:p w14:paraId="660EFC4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67F0D8C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Caja</w:t>
            </w:r>
          </w:p>
        </w:tc>
        <w:tc>
          <w:tcPr>
            <w:tcW w:w="911" w:type="dxa"/>
            <w:shd w:val="clear" w:color="auto" w:fill="auto"/>
            <w:noWrap/>
            <w:hideMark/>
          </w:tcPr>
          <w:p w14:paraId="1DB931D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99.500 </w:t>
            </w:r>
          </w:p>
        </w:tc>
        <w:tc>
          <w:tcPr>
            <w:tcW w:w="911" w:type="dxa"/>
            <w:shd w:val="clear" w:color="000000" w:fill="FFFFFF"/>
            <w:noWrap/>
            <w:hideMark/>
          </w:tcPr>
          <w:p w14:paraId="64BA065B"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4.975.000 </w:t>
            </w:r>
          </w:p>
        </w:tc>
      </w:tr>
      <w:tr w:rsidR="00581335" w:rsidRPr="002439C6" w14:paraId="04B33346" w14:textId="77777777" w:rsidTr="00581335">
        <w:trPr>
          <w:trHeight w:val="2040"/>
        </w:trPr>
        <w:tc>
          <w:tcPr>
            <w:tcW w:w="348" w:type="dxa"/>
            <w:shd w:val="clear" w:color="auto" w:fill="auto"/>
            <w:noWrap/>
            <w:hideMark/>
          </w:tcPr>
          <w:p w14:paraId="4A98D55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159</w:t>
            </w:r>
          </w:p>
        </w:tc>
        <w:tc>
          <w:tcPr>
            <w:tcW w:w="1632" w:type="dxa"/>
            <w:shd w:val="clear" w:color="auto" w:fill="auto"/>
            <w:noWrap/>
            <w:hideMark/>
          </w:tcPr>
          <w:p w14:paraId="643E70F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Bolsas para residuos</w:t>
            </w:r>
          </w:p>
        </w:tc>
        <w:tc>
          <w:tcPr>
            <w:tcW w:w="3283" w:type="dxa"/>
            <w:shd w:val="clear" w:color="auto" w:fill="auto"/>
            <w:hideMark/>
          </w:tcPr>
          <w:p w14:paraId="4A81345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Bolsas para residuos de 100 litros fabricadas en polietileno de alta o baja densidad, de alta resistencia mecánica, aptas para la recolección y disposición de residuos comunes o industriales. Con capacidad nominal de 100 litros, presentan sellado inferior reforzado para evitar derrames y roturas, y dimensiones adecuadas para su uso en contenedores de gran volumen. Disponibles en distintos colores según el sistema de segregación de residuos y suministradas en rollos o paquetes.</w:t>
            </w:r>
          </w:p>
        </w:tc>
        <w:tc>
          <w:tcPr>
            <w:tcW w:w="541" w:type="dxa"/>
            <w:shd w:val="clear" w:color="auto" w:fill="auto"/>
            <w:hideMark/>
          </w:tcPr>
          <w:p w14:paraId="59C28BD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250</w:t>
            </w:r>
          </w:p>
        </w:tc>
        <w:tc>
          <w:tcPr>
            <w:tcW w:w="478" w:type="dxa"/>
            <w:shd w:val="clear" w:color="auto" w:fill="auto"/>
            <w:noWrap/>
            <w:hideMark/>
          </w:tcPr>
          <w:p w14:paraId="177B3F2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6E3172C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7A0E544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4.750 </w:t>
            </w:r>
          </w:p>
        </w:tc>
        <w:tc>
          <w:tcPr>
            <w:tcW w:w="911" w:type="dxa"/>
            <w:shd w:val="clear" w:color="000000" w:fill="FFFFFF"/>
            <w:noWrap/>
            <w:hideMark/>
          </w:tcPr>
          <w:p w14:paraId="12C402FC"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1.187.500 </w:t>
            </w:r>
          </w:p>
        </w:tc>
      </w:tr>
      <w:tr w:rsidR="00581335" w:rsidRPr="002439C6" w14:paraId="5FAA280C" w14:textId="77777777" w:rsidTr="00581335">
        <w:trPr>
          <w:trHeight w:val="2040"/>
        </w:trPr>
        <w:tc>
          <w:tcPr>
            <w:tcW w:w="348" w:type="dxa"/>
            <w:shd w:val="clear" w:color="auto" w:fill="auto"/>
            <w:noWrap/>
            <w:hideMark/>
          </w:tcPr>
          <w:p w14:paraId="69C2C0F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160</w:t>
            </w:r>
          </w:p>
        </w:tc>
        <w:tc>
          <w:tcPr>
            <w:tcW w:w="1632" w:type="dxa"/>
            <w:shd w:val="clear" w:color="auto" w:fill="auto"/>
            <w:noWrap/>
            <w:hideMark/>
          </w:tcPr>
          <w:p w14:paraId="6F71E14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Bolsas para residuos</w:t>
            </w:r>
          </w:p>
        </w:tc>
        <w:tc>
          <w:tcPr>
            <w:tcW w:w="3283" w:type="dxa"/>
            <w:shd w:val="clear" w:color="auto" w:fill="auto"/>
            <w:hideMark/>
          </w:tcPr>
          <w:p w14:paraId="7EDD46C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Bolsas para residuos de 200 litros fabricadas en polietileno de alta o baja densidad, de alta resistencia mecánica, aptas para la recolección y disposición de residuos comunes o industriales. Con capacidad nominal de 100 litros, presentan sellado inferior reforzado para evitar derrames y roturas, y dimensiones adecuadas para su uso en contenedores de gran volumen. Disponibles en distintos colores según el sistema de segregación de residuos y suministradas en rollos o paquetes.</w:t>
            </w:r>
          </w:p>
        </w:tc>
        <w:tc>
          <w:tcPr>
            <w:tcW w:w="541" w:type="dxa"/>
            <w:shd w:val="clear" w:color="auto" w:fill="auto"/>
            <w:hideMark/>
          </w:tcPr>
          <w:p w14:paraId="09F1FBD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100</w:t>
            </w:r>
          </w:p>
        </w:tc>
        <w:tc>
          <w:tcPr>
            <w:tcW w:w="478" w:type="dxa"/>
            <w:shd w:val="clear" w:color="auto" w:fill="auto"/>
            <w:noWrap/>
            <w:hideMark/>
          </w:tcPr>
          <w:p w14:paraId="2356569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243EA1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42795AE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10.500 </w:t>
            </w:r>
          </w:p>
        </w:tc>
        <w:tc>
          <w:tcPr>
            <w:tcW w:w="911" w:type="dxa"/>
            <w:shd w:val="clear" w:color="000000" w:fill="FFFFFF"/>
            <w:noWrap/>
            <w:hideMark/>
          </w:tcPr>
          <w:p w14:paraId="44A09613"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1.050.000 </w:t>
            </w:r>
          </w:p>
        </w:tc>
      </w:tr>
      <w:tr w:rsidR="00581335" w:rsidRPr="002439C6" w14:paraId="1B19549A" w14:textId="77777777" w:rsidTr="00581335">
        <w:trPr>
          <w:trHeight w:val="1224"/>
        </w:trPr>
        <w:tc>
          <w:tcPr>
            <w:tcW w:w="348" w:type="dxa"/>
            <w:shd w:val="clear" w:color="auto" w:fill="auto"/>
            <w:noWrap/>
            <w:hideMark/>
          </w:tcPr>
          <w:p w14:paraId="1DCF49B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161</w:t>
            </w:r>
          </w:p>
        </w:tc>
        <w:tc>
          <w:tcPr>
            <w:tcW w:w="1632" w:type="dxa"/>
            <w:shd w:val="clear" w:color="auto" w:fill="auto"/>
            <w:noWrap/>
            <w:hideMark/>
          </w:tcPr>
          <w:p w14:paraId="344B1CB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Micropipeta automática monocanal de volumen variable (0,1–2 µL)</w:t>
            </w:r>
          </w:p>
        </w:tc>
        <w:tc>
          <w:tcPr>
            <w:tcW w:w="3283" w:type="dxa"/>
            <w:shd w:val="clear" w:color="auto" w:fill="auto"/>
            <w:hideMark/>
          </w:tcPr>
          <w:p w14:paraId="409A47C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Instrumento de alta precisión para la aspiración y dispensación de volúmenes ultrabajos de líquidos, con rango ajustable de 0,1 a 2 µL. Cuenta con un solo canal, compatible con puntas desechables, ideal para aplicaciones de biología molecular y análisis que requieren máxima exactitud.</w:t>
            </w:r>
          </w:p>
        </w:tc>
        <w:tc>
          <w:tcPr>
            <w:tcW w:w="541" w:type="dxa"/>
            <w:shd w:val="clear" w:color="auto" w:fill="auto"/>
            <w:hideMark/>
          </w:tcPr>
          <w:p w14:paraId="79C0F50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7A844BC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05B190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1DC33B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1.640.000 </w:t>
            </w:r>
          </w:p>
        </w:tc>
        <w:tc>
          <w:tcPr>
            <w:tcW w:w="911" w:type="dxa"/>
            <w:shd w:val="clear" w:color="000000" w:fill="FFFFFF"/>
            <w:noWrap/>
            <w:hideMark/>
          </w:tcPr>
          <w:p w14:paraId="77B94F04"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3.280.000 </w:t>
            </w:r>
          </w:p>
        </w:tc>
      </w:tr>
      <w:tr w:rsidR="00581335" w:rsidRPr="002439C6" w14:paraId="790503F0" w14:textId="77777777" w:rsidTr="00581335">
        <w:trPr>
          <w:trHeight w:val="816"/>
        </w:trPr>
        <w:tc>
          <w:tcPr>
            <w:tcW w:w="348" w:type="dxa"/>
            <w:shd w:val="clear" w:color="auto" w:fill="auto"/>
            <w:noWrap/>
            <w:hideMark/>
          </w:tcPr>
          <w:p w14:paraId="35CF640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162</w:t>
            </w:r>
          </w:p>
        </w:tc>
        <w:tc>
          <w:tcPr>
            <w:tcW w:w="1632" w:type="dxa"/>
            <w:shd w:val="clear" w:color="auto" w:fill="auto"/>
            <w:noWrap/>
            <w:hideMark/>
          </w:tcPr>
          <w:p w14:paraId="703C157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Micropipeta automática monocanal de volumen variable (0,5–10 µL)</w:t>
            </w:r>
          </w:p>
        </w:tc>
        <w:tc>
          <w:tcPr>
            <w:tcW w:w="3283" w:type="dxa"/>
            <w:shd w:val="clear" w:color="auto" w:fill="auto"/>
            <w:hideMark/>
          </w:tcPr>
          <w:p w14:paraId="4C112CC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Pipeta de un canal con rango ajustable de 0,5 a 10 µL, diseñada para la dosificación precisa de pequeños volúmenes de reactivos en procedimientos analíticos, microbiológicos y moleculares.</w:t>
            </w:r>
          </w:p>
        </w:tc>
        <w:tc>
          <w:tcPr>
            <w:tcW w:w="541" w:type="dxa"/>
            <w:shd w:val="clear" w:color="auto" w:fill="auto"/>
            <w:hideMark/>
          </w:tcPr>
          <w:p w14:paraId="49F0D74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378026C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A5C3B3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4F57A8A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1.640.000 </w:t>
            </w:r>
          </w:p>
        </w:tc>
        <w:tc>
          <w:tcPr>
            <w:tcW w:w="911" w:type="dxa"/>
            <w:shd w:val="clear" w:color="000000" w:fill="FFFFFF"/>
            <w:noWrap/>
            <w:hideMark/>
          </w:tcPr>
          <w:p w14:paraId="70EE1769"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3.280.000 </w:t>
            </w:r>
          </w:p>
        </w:tc>
      </w:tr>
      <w:tr w:rsidR="00581335" w:rsidRPr="002439C6" w14:paraId="23BA60ED" w14:textId="77777777" w:rsidTr="00581335">
        <w:trPr>
          <w:trHeight w:val="816"/>
        </w:trPr>
        <w:tc>
          <w:tcPr>
            <w:tcW w:w="348" w:type="dxa"/>
            <w:shd w:val="clear" w:color="auto" w:fill="auto"/>
            <w:noWrap/>
            <w:hideMark/>
          </w:tcPr>
          <w:p w14:paraId="5075048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163</w:t>
            </w:r>
          </w:p>
        </w:tc>
        <w:tc>
          <w:tcPr>
            <w:tcW w:w="1632" w:type="dxa"/>
            <w:shd w:val="clear" w:color="auto" w:fill="auto"/>
            <w:noWrap/>
            <w:hideMark/>
          </w:tcPr>
          <w:p w14:paraId="343A752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Micropipeta automática monocanal de volumen variable (2–20 µL)</w:t>
            </w:r>
          </w:p>
        </w:tc>
        <w:tc>
          <w:tcPr>
            <w:tcW w:w="3283" w:type="dxa"/>
            <w:shd w:val="clear" w:color="auto" w:fill="auto"/>
            <w:hideMark/>
          </w:tcPr>
          <w:p w14:paraId="41ACF3B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Equipo de laboratorio con un canal y ajuste continuo de volumen entre 2 y 20 µL, adecuada para la manipulación exacta de muestras y reactivos en ensayos de PCR, ELISA y otras técnicas de laboratorio.</w:t>
            </w:r>
          </w:p>
        </w:tc>
        <w:tc>
          <w:tcPr>
            <w:tcW w:w="541" w:type="dxa"/>
            <w:shd w:val="clear" w:color="auto" w:fill="auto"/>
            <w:hideMark/>
          </w:tcPr>
          <w:p w14:paraId="230DB2A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5F8C8DD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2E2A0F4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1E99DE8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1.640.000 </w:t>
            </w:r>
          </w:p>
        </w:tc>
        <w:tc>
          <w:tcPr>
            <w:tcW w:w="911" w:type="dxa"/>
            <w:shd w:val="clear" w:color="000000" w:fill="FFFFFF"/>
            <w:noWrap/>
            <w:hideMark/>
          </w:tcPr>
          <w:p w14:paraId="0FFACDEB"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3.280.000 </w:t>
            </w:r>
          </w:p>
        </w:tc>
      </w:tr>
      <w:tr w:rsidR="00581335" w:rsidRPr="002439C6" w14:paraId="1B670A00" w14:textId="77777777" w:rsidTr="00581335">
        <w:trPr>
          <w:trHeight w:val="612"/>
        </w:trPr>
        <w:tc>
          <w:tcPr>
            <w:tcW w:w="348" w:type="dxa"/>
            <w:shd w:val="clear" w:color="auto" w:fill="auto"/>
            <w:noWrap/>
            <w:hideMark/>
          </w:tcPr>
          <w:p w14:paraId="4025328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164</w:t>
            </w:r>
          </w:p>
        </w:tc>
        <w:tc>
          <w:tcPr>
            <w:tcW w:w="1632" w:type="dxa"/>
            <w:shd w:val="clear" w:color="auto" w:fill="auto"/>
            <w:noWrap/>
            <w:hideMark/>
          </w:tcPr>
          <w:p w14:paraId="6E11058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Micropipeta automática monocanal de volumen variable (10–100 µL)</w:t>
            </w:r>
          </w:p>
        </w:tc>
        <w:tc>
          <w:tcPr>
            <w:tcW w:w="3283" w:type="dxa"/>
            <w:shd w:val="clear" w:color="auto" w:fill="auto"/>
            <w:hideMark/>
          </w:tcPr>
          <w:p w14:paraId="1E0D7EE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Pipeta automática de un canal con rango de trabajo de 10 a 100 µL, apta para transferencias precisas de líquidos en aplicaciones rutinarias de laboratorio.</w:t>
            </w:r>
          </w:p>
        </w:tc>
        <w:tc>
          <w:tcPr>
            <w:tcW w:w="541" w:type="dxa"/>
            <w:shd w:val="clear" w:color="auto" w:fill="auto"/>
            <w:hideMark/>
          </w:tcPr>
          <w:p w14:paraId="06CB528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412A6F6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4013C4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E734D6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1.640.000 </w:t>
            </w:r>
          </w:p>
        </w:tc>
        <w:tc>
          <w:tcPr>
            <w:tcW w:w="911" w:type="dxa"/>
            <w:shd w:val="clear" w:color="000000" w:fill="FFFFFF"/>
            <w:noWrap/>
            <w:hideMark/>
          </w:tcPr>
          <w:p w14:paraId="786D7D26"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3.280.000 </w:t>
            </w:r>
          </w:p>
        </w:tc>
      </w:tr>
      <w:tr w:rsidR="00581335" w:rsidRPr="002439C6" w14:paraId="582F64BC" w14:textId="77777777" w:rsidTr="00581335">
        <w:trPr>
          <w:trHeight w:val="816"/>
        </w:trPr>
        <w:tc>
          <w:tcPr>
            <w:tcW w:w="348" w:type="dxa"/>
            <w:shd w:val="clear" w:color="auto" w:fill="auto"/>
            <w:noWrap/>
            <w:hideMark/>
          </w:tcPr>
          <w:p w14:paraId="5AF76AC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165</w:t>
            </w:r>
          </w:p>
        </w:tc>
        <w:tc>
          <w:tcPr>
            <w:tcW w:w="1632" w:type="dxa"/>
            <w:shd w:val="clear" w:color="auto" w:fill="auto"/>
            <w:noWrap/>
            <w:hideMark/>
          </w:tcPr>
          <w:p w14:paraId="60C7564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Micropipeta automática monocanal de volumen variable (20–200 µL)</w:t>
            </w:r>
          </w:p>
        </w:tc>
        <w:tc>
          <w:tcPr>
            <w:tcW w:w="3283" w:type="dxa"/>
            <w:shd w:val="clear" w:color="auto" w:fill="auto"/>
            <w:hideMark/>
          </w:tcPr>
          <w:p w14:paraId="5A45349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Instrumento de precisión con capacidad ajustable entre 20 y 200 µL, utilizado para la dispensación exacta de volúmenes intermedios de líquidos en análisis químicos, microbiológicos y bioquímicos.</w:t>
            </w:r>
          </w:p>
        </w:tc>
        <w:tc>
          <w:tcPr>
            <w:tcW w:w="541" w:type="dxa"/>
            <w:shd w:val="clear" w:color="auto" w:fill="auto"/>
            <w:hideMark/>
          </w:tcPr>
          <w:p w14:paraId="2C00309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1E541A1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1B79E86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2ED4AD0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1.640.000 </w:t>
            </w:r>
          </w:p>
        </w:tc>
        <w:tc>
          <w:tcPr>
            <w:tcW w:w="911" w:type="dxa"/>
            <w:shd w:val="clear" w:color="000000" w:fill="FFFFFF"/>
            <w:noWrap/>
            <w:hideMark/>
          </w:tcPr>
          <w:p w14:paraId="2FFEAC94"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3.280.000 </w:t>
            </w:r>
          </w:p>
        </w:tc>
      </w:tr>
      <w:tr w:rsidR="00581335" w:rsidRPr="002439C6" w14:paraId="1CA18B7E" w14:textId="77777777" w:rsidTr="00581335">
        <w:trPr>
          <w:trHeight w:val="612"/>
        </w:trPr>
        <w:tc>
          <w:tcPr>
            <w:tcW w:w="348" w:type="dxa"/>
            <w:shd w:val="clear" w:color="auto" w:fill="auto"/>
            <w:noWrap/>
            <w:hideMark/>
          </w:tcPr>
          <w:p w14:paraId="2D38584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166</w:t>
            </w:r>
          </w:p>
        </w:tc>
        <w:tc>
          <w:tcPr>
            <w:tcW w:w="1632" w:type="dxa"/>
            <w:shd w:val="clear" w:color="auto" w:fill="auto"/>
            <w:noWrap/>
            <w:hideMark/>
          </w:tcPr>
          <w:p w14:paraId="659EE59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Micropipeta automática monocanal de volumen variable (100–1000 µL)</w:t>
            </w:r>
          </w:p>
        </w:tc>
        <w:tc>
          <w:tcPr>
            <w:tcW w:w="3283" w:type="dxa"/>
            <w:shd w:val="clear" w:color="auto" w:fill="auto"/>
            <w:hideMark/>
          </w:tcPr>
          <w:p w14:paraId="1BDBD21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Pipeta automática de un canal con rango ajustable de 100 a 1000 µL, diseñada para la transferencia precisa de volúmenes altos de reactivos y muestras líquidas.</w:t>
            </w:r>
          </w:p>
        </w:tc>
        <w:tc>
          <w:tcPr>
            <w:tcW w:w="541" w:type="dxa"/>
            <w:shd w:val="clear" w:color="auto" w:fill="auto"/>
            <w:hideMark/>
          </w:tcPr>
          <w:p w14:paraId="5B17813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2FC4F20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318692B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12B881C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1.640.000 </w:t>
            </w:r>
          </w:p>
        </w:tc>
        <w:tc>
          <w:tcPr>
            <w:tcW w:w="911" w:type="dxa"/>
            <w:shd w:val="clear" w:color="000000" w:fill="FFFFFF"/>
            <w:noWrap/>
            <w:hideMark/>
          </w:tcPr>
          <w:p w14:paraId="4B587C33"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3.280.000 </w:t>
            </w:r>
          </w:p>
        </w:tc>
      </w:tr>
      <w:tr w:rsidR="00581335" w:rsidRPr="002439C6" w14:paraId="5391AFB4" w14:textId="77777777" w:rsidTr="00581335">
        <w:trPr>
          <w:trHeight w:val="1020"/>
        </w:trPr>
        <w:tc>
          <w:tcPr>
            <w:tcW w:w="348" w:type="dxa"/>
            <w:shd w:val="clear" w:color="auto" w:fill="auto"/>
            <w:noWrap/>
            <w:hideMark/>
          </w:tcPr>
          <w:p w14:paraId="7C7127E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167</w:t>
            </w:r>
          </w:p>
        </w:tc>
        <w:tc>
          <w:tcPr>
            <w:tcW w:w="1632" w:type="dxa"/>
            <w:shd w:val="clear" w:color="auto" w:fill="auto"/>
            <w:noWrap/>
            <w:hideMark/>
          </w:tcPr>
          <w:p w14:paraId="1C13CB0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Micropipeta automática multicanal de volumen variable, 8 canales (20–200 µL)</w:t>
            </w:r>
          </w:p>
        </w:tc>
        <w:tc>
          <w:tcPr>
            <w:tcW w:w="3283" w:type="dxa"/>
            <w:shd w:val="clear" w:color="auto" w:fill="auto"/>
            <w:hideMark/>
          </w:tcPr>
          <w:p w14:paraId="3E61127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Instrumento de ocho canales con rango ajustable de 20 a 200 µL, ideal para la dispensación simultánea de múltiples muestras en placas de microtitulación, optimizando el tiempo y la reproducibilidad de los análisis.</w:t>
            </w:r>
          </w:p>
        </w:tc>
        <w:tc>
          <w:tcPr>
            <w:tcW w:w="541" w:type="dxa"/>
            <w:shd w:val="clear" w:color="auto" w:fill="auto"/>
            <w:hideMark/>
          </w:tcPr>
          <w:p w14:paraId="2D0EB5FA"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w:t>
            </w:r>
          </w:p>
        </w:tc>
        <w:tc>
          <w:tcPr>
            <w:tcW w:w="478" w:type="dxa"/>
            <w:shd w:val="clear" w:color="auto" w:fill="auto"/>
            <w:noWrap/>
            <w:hideMark/>
          </w:tcPr>
          <w:p w14:paraId="286801A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39132DB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2FCEAAF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4.400.000 </w:t>
            </w:r>
          </w:p>
        </w:tc>
        <w:tc>
          <w:tcPr>
            <w:tcW w:w="911" w:type="dxa"/>
            <w:shd w:val="clear" w:color="000000" w:fill="FFFFFF"/>
            <w:noWrap/>
            <w:hideMark/>
          </w:tcPr>
          <w:p w14:paraId="26819083"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4.400.000 </w:t>
            </w:r>
          </w:p>
        </w:tc>
      </w:tr>
      <w:tr w:rsidR="00581335" w:rsidRPr="002439C6" w14:paraId="0E454902" w14:textId="77777777" w:rsidTr="00581335">
        <w:trPr>
          <w:trHeight w:val="1428"/>
        </w:trPr>
        <w:tc>
          <w:tcPr>
            <w:tcW w:w="348" w:type="dxa"/>
            <w:shd w:val="clear" w:color="auto" w:fill="auto"/>
            <w:noWrap/>
            <w:hideMark/>
          </w:tcPr>
          <w:p w14:paraId="170E7C7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168</w:t>
            </w:r>
          </w:p>
        </w:tc>
        <w:tc>
          <w:tcPr>
            <w:tcW w:w="1632" w:type="dxa"/>
            <w:shd w:val="clear" w:color="auto" w:fill="auto"/>
            <w:noWrap/>
            <w:hideMark/>
          </w:tcPr>
          <w:p w14:paraId="21CA70B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Soporte carrusel para pipetas</w:t>
            </w:r>
          </w:p>
        </w:tc>
        <w:tc>
          <w:tcPr>
            <w:tcW w:w="3283" w:type="dxa"/>
            <w:shd w:val="clear" w:color="auto" w:fill="auto"/>
            <w:hideMark/>
          </w:tcPr>
          <w:p w14:paraId="6E5239B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Soporte carrusel para pipetas Admite hasta 6 pipetas (tanto monocanal como</w:t>
            </w:r>
            <w:r w:rsidRPr="002439C6">
              <w:rPr>
                <w:rFonts w:eastAsia="Times New Roman" w:cs="Calibri"/>
                <w:color w:val="000000"/>
                <w:sz w:val="16"/>
                <w:szCs w:val="16"/>
                <w:lang w:eastAsia="es-PY"/>
              </w:rPr>
              <w:br/>
              <w:t>multicanal). Se adapta a la mayoría de las principales marcas de pipetas.</w:t>
            </w:r>
            <w:r w:rsidRPr="002439C6">
              <w:rPr>
                <w:rFonts w:eastAsia="Times New Roman" w:cs="Calibri"/>
                <w:color w:val="000000"/>
                <w:sz w:val="16"/>
                <w:szCs w:val="16"/>
                <w:lang w:eastAsia="es-PY"/>
              </w:rPr>
              <w:br/>
              <w:t>Cada soporte individual para pipetas puede desmontarse y utilizarse como soporte de pared si es necesario.</w:t>
            </w:r>
          </w:p>
        </w:tc>
        <w:tc>
          <w:tcPr>
            <w:tcW w:w="541" w:type="dxa"/>
            <w:shd w:val="clear" w:color="auto" w:fill="auto"/>
            <w:hideMark/>
          </w:tcPr>
          <w:p w14:paraId="637D5EF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w:t>
            </w:r>
          </w:p>
        </w:tc>
        <w:tc>
          <w:tcPr>
            <w:tcW w:w="478" w:type="dxa"/>
            <w:shd w:val="clear" w:color="auto" w:fill="auto"/>
            <w:noWrap/>
            <w:hideMark/>
          </w:tcPr>
          <w:p w14:paraId="5BB15E8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3E846CB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794B4BC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1.680.000 </w:t>
            </w:r>
          </w:p>
        </w:tc>
        <w:tc>
          <w:tcPr>
            <w:tcW w:w="911" w:type="dxa"/>
            <w:shd w:val="clear" w:color="000000" w:fill="FFFFFF"/>
            <w:noWrap/>
            <w:hideMark/>
          </w:tcPr>
          <w:p w14:paraId="58A6B39C"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1.680.000 </w:t>
            </w:r>
          </w:p>
        </w:tc>
      </w:tr>
      <w:tr w:rsidR="00581335" w:rsidRPr="002439C6" w14:paraId="6CE265F3" w14:textId="77777777" w:rsidTr="00581335">
        <w:trPr>
          <w:trHeight w:val="1224"/>
        </w:trPr>
        <w:tc>
          <w:tcPr>
            <w:tcW w:w="348" w:type="dxa"/>
            <w:shd w:val="clear" w:color="auto" w:fill="auto"/>
            <w:noWrap/>
            <w:hideMark/>
          </w:tcPr>
          <w:p w14:paraId="130E835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169</w:t>
            </w:r>
          </w:p>
        </w:tc>
        <w:tc>
          <w:tcPr>
            <w:tcW w:w="1632" w:type="dxa"/>
            <w:shd w:val="clear" w:color="auto" w:fill="auto"/>
            <w:noWrap/>
            <w:hideMark/>
          </w:tcPr>
          <w:p w14:paraId="2ED110C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Micropipeta automática monocanal de volumen variable (0,1–2.5 µL)</w:t>
            </w:r>
          </w:p>
        </w:tc>
        <w:tc>
          <w:tcPr>
            <w:tcW w:w="3283" w:type="dxa"/>
            <w:shd w:val="clear" w:color="auto" w:fill="auto"/>
            <w:hideMark/>
          </w:tcPr>
          <w:p w14:paraId="257E2F7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Instrumento de alta precisión para la aspiración y dispensación de volúmenes ultrabajos de líquidos, con rango ajustable de 0,1 a 2.5 µL. Cuenta con un solo canal, compatible con puntas desechables, ideal para aplicaciones de biología molecular y análisis que requieren máxima exactitud.</w:t>
            </w:r>
          </w:p>
        </w:tc>
        <w:tc>
          <w:tcPr>
            <w:tcW w:w="541" w:type="dxa"/>
            <w:shd w:val="clear" w:color="auto" w:fill="auto"/>
            <w:hideMark/>
          </w:tcPr>
          <w:p w14:paraId="74EEA08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0191F1E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56FAEDA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737B463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358.000 </w:t>
            </w:r>
          </w:p>
        </w:tc>
        <w:tc>
          <w:tcPr>
            <w:tcW w:w="911" w:type="dxa"/>
            <w:shd w:val="clear" w:color="000000" w:fill="FFFFFF"/>
            <w:noWrap/>
            <w:hideMark/>
          </w:tcPr>
          <w:p w14:paraId="5B4122D7"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716.000 </w:t>
            </w:r>
          </w:p>
        </w:tc>
      </w:tr>
      <w:tr w:rsidR="00581335" w:rsidRPr="002439C6" w14:paraId="251A2DBB" w14:textId="77777777" w:rsidTr="00581335">
        <w:trPr>
          <w:trHeight w:val="816"/>
        </w:trPr>
        <w:tc>
          <w:tcPr>
            <w:tcW w:w="348" w:type="dxa"/>
            <w:shd w:val="clear" w:color="auto" w:fill="auto"/>
            <w:noWrap/>
            <w:hideMark/>
          </w:tcPr>
          <w:p w14:paraId="446DFEE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170</w:t>
            </w:r>
          </w:p>
        </w:tc>
        <w:tc>
          <w:tcPr>
            <w:tcW w:w="1632" w:type="dxa"/>
            <w:shd w:val="clear" w:color="auto" w:fill="auto"/>
            <w:noWrap/>
            <w:hideMark/>
          </w:tcPr>
          <w:p w14:paraId="4AD9E0C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Micropipeta automática monocanal de volumen variable (0,5–10 µL)</w:t>
            </w:r>
          </w:p>
        </w:tc>
        <w:tc>
          <w:tcPr>
            <w:tcW w:w="3283" w:type="dxa"/>
            <w:shd w:val="clear" w:color="auto" w:fill="auto"/>
            <w:hideMark/>
          </w:tcPr>
          <w:p w14:paraId="239116D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Pipeta de un canal con rango ajustable de 0,5 a 10 µL, diseñada para la dosificación precisa de pequeños volúmenes de reactivos en procedimientos analíticos, microbiológicos y moleculares.</w:t>
            </w:r>
          </w:p>
        </w:tc>
        <w:tc>
          <w:tcPr>
            <w:tcW w:w="541" w:type="dxa"/>
            <w:shd w:val="clear" w:color="auto" w:fill="auto"/>
            <w:hideMark/>
          </w:tcPr>
          <w:p w14:paraId="10265388"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295F53F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923D542"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7EB9323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280.000 </w:t>
            </w:r>
          </w:p>
        </w:tc>
        <w:tc>
          <w:tcPr>
            <w:tcW w:w="911" w:type="dxa"/>
            <w:shd w:val="clear" w:color="000000" w:fill="FFFFFF"/>
            <w:noWrap/>
            <w:hideMark/>
          </w:tcPr>
          <w:p w14:paraId="21C8881B"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560.000 </w:t>
            </w:r>
          </w:p>
        </w:tc>
      </w:tr>
      <w:tr w:rsidR="00581335" w:rsidRPr="002439C6" w14:paraId="42082C3B" w14:textId="77777777" w:rsidTr="00581335">
        <w:trPr>
          <w:trHeight w:val="816"/>
        </w:trPr>
        <w:tc>
          <w:tcPr>
            <w:tcW w:w="348" w:type="dxa"/>
            <w:shd w:val="clear" w:color="auto" w:fill="auto"/>
            <w:noWrap/>
            <w:hideMark/>
          </w:tcPr>
          <w:p w14:paraId="7859221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171</w:t>
            </w:r>
          </w:p>
        </w:tc>
        <w:tc>
          <w:tcPr>
            <w:tcW w:w="1632" w:type="dxa"/>
            <w:shd w:val="clear" w:color="auto" w:fill="auto"/>
            <w:noWrap/>
            <w:hideMark/>
          </w:tcPr>
          <w:p w14:paraId="0E7CDCC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Micropipeta automática monocanal de </w:t>
            </w:r>
            <w:r w:rsidRPr="002439C6">
              <w:rPr>
                <w:rFonts w:eastAsia="Times New Roman" w:cs="Calibri"/>
                <w:color w:val="000000"/>
                <w:sz w:val="16"/>
                <w:szCs w:val="16"/>
                <w:lang w:eastAsia="es-PY"/>
              </w:rPr>
              <w:lastRenderedPageBreak/>
              <w:t>volumen variable (2–10 µL)</w:t>
            </w:r>
          </w:p>
        </w:tc>
        <w:tc>
          <w:tcPr>
            <w:tcW w:w="3283" w:type="dxa"/>
            <w:shd w:val="clear" w:color="auto" w:fill="auto"/>
            <w:hideMark/>
          </w:tcPr>
          <w:p w14:paraId="672EF98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lastRenderedPageBreak/>
              <w:t xml:space="preserve">Equipo de laboratorio con un canal y ajuste continuo de volumen entre 2 y 10 µL, adecuada para la manipulación exacta de muestras y </w:t>
            </w:r>
            <w:r w:rsidRPr="002439C6">
              <w:rPr>
                <w:rFonts w:eastAsia="Times New Roman" w:cs="Calibri"/>
                <w:color w:val="000000"/>
                <w:sz w:val="16"/>
                <w:szCs w:val="16"/>
                <w:lang w:eastAsia="es-PY"/>
              </w:rPr>
              <w:lastRenderedPageBreak/>
              <w:t>reactivos en ensayos de PCR, ELISA y otras técnicas de laboratorio.</w:t>
            </w:r>
          </w:p>
        </w:tc>
        <w:tc>
          <w:tcPr>
            <w:tcW w:w="541" w:type="dxa"/>
            <w:shd w:val="clear" w:color="auto" w:fill="auto"/>
            <w:hideMark/>
          </w:tcPr>
          <w:p w14:paraId="1027F9E7"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lastRenderedPageBreak/>
              <w:t>2</w:t>
            </w:r>
          </w:p>
        </w:tc>
        <w:tc>
          <w:tcPr>
            <w:tcW w:w="478" w:type="dxa"/>
            <w:shd w:val="clear" w:color="auto" w:fill="auto"/>
            <w:noWrap/>
            <w:hideMark/>
          </w:tcPr>
          <w:p w14:paraId="68AAD36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7C7E0BD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A99DC2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313.000 </w:t>
            </w:r>
          </w:p>
        </w:tc>
        <w:tc>
          <w:tcPr>
            <w:tcW w:w="911" w:type="dxa"/>
            <w:shd w:val="clear" w:color="000000" w:fill="FFFFFF"/>
            <w:noWrap/>
            <w:hideMark/>
          </w:tcPr>
          <w:p w14:paraId="4B9F86EE"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626.000 </w:t>
            </w:r>
          </w:p>
        </w:tc>
      </w:tr>
      <w:tr w:rsidR="00581335" w:rsidRPr="002439C6" w14:paraId="797FE9C3" w14:textId="77777777" w:rsidTr="00581335">
        <w:trPr>
          <w:trHeight w:val="612"/>
        </w:trPr>
        <w:tc>
          <w:tcPr>
            <w:tcW w:w="348" w:type="dxa"/>
            <w:shd w:val="clear" w:color="auto" w:fill="auto"/>
            <w:noWrap/>
            <w:hideMark/>
          </w:tcPr>
          <w:p w14:paraId="4E95B01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172</w:t>
            </w:r>
          </w:p>
        </w:tc>
        <w:tc>
          <w:tcPr>
            <w:tcW w:w="1632" w:type="dxa"/>
            <w:shd w:val="clear" w:color="auto" w:fill="auto"/>
            <w:noWrap/>
            <w:hideMark/>
          </w:tcPr>
          <w:p w14:paraId="5F92632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Micropipeta automática monocanal de volumen variable (5–50 µL)</w:t>
            </w:r>
          </w:p>
        </w:tc>
        <w:tc>
          <w:tcPr>
            <w:tcW w:w="3283" w:type="dxa"/>
            <w:shd w:val="clear" w:color="auto" w:fill="auto"/>
            <w:hideMark/>
          </w:tcPr>
          <w:p w14:paraId="0DF3FEA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Pipeta automática de un canal con rango de trabajo de 5 a 50 µL, apta para transferencias precisas de líquidos en aplicaciones rutinarias de laboratorio.</w:t>
            </w:r>
          </w:p>
        </w:tc>
        <w:tc>
          <w:tcPr>
            <w:tcW w:w="541" w:type="dxa"/>
            <w:shd w:val="clear" w:color="auto" w:fill="auto"/>
            <w:hideMark/>
          </w:tcPr>
          <w:p w14:paraId="647E35A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58DDE6D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53EEB54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7AC59F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442.000 </w:t>
            </w:r>
          </w:p>
        </w:tc>
        <w:tc>
          <w:tcPr>
            <w:tcW w:w="911" w:type="dxa"/>
            <w:shd w:val="clear" w:color="000000" w:fill="FFFFFF"/>
            <w:noWrap/>
            <w:hideMark/>
          </w:tcPr>
          <w:p w14:paraId="7A03A939"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884.000 </w:t>
            </w:r>
          </w:p>
        </w:tc>
      </w:tr>
      <w:tr w:rsidR="00581335" w:rsidRPr="002439C6" w14:paraId="7DD0E52E" w14:textId="77777777" w:rsidTr="00581335">
        <w:trPr>
          <w:trHeight w:val="612"/>
        </w:trPr>
        <w:tc>
          <w:tcPr>
            <w:tcW w:w="348" w:type="dxa"/>
            <w:shd w:val="clear" w:color="auto" w:fill="auto"/>
            <w:noWrap/>
            <w:hideMark/>
          </w:tcPr>
          <w:p w14:paraId="3B37D9F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173</w:t>
            </w:r>
          </w:p>
        </w:tc>
        <w:tc>
          <w:tcPr>
            <w:tcW w:w="1632" w:type="dxa"/>
            <w:shd w:val="clear" w:color="auto" w:fill="auto"/>
            <w:noWrap/>
            <w:hideMark/>
          </w:tcPr>
          <w:p w14:paraId="68B2E4B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Micropipeta automática monocanal de volumen variable (10–100 µL)</w:t>
            </w:r>
          </w:p>
        </w:tc>
        <w:tc>
          <w:tcPr>
            <w:tcW w:w="3283" w:type="dxa"/>
            <w:shd w:val="clear" w:color="auto" w:fill="auto"/>
            <w:hideMark/>
          </w:tcPr>
          <w:p w14:paraId="31FD8C4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Pipeta automática de un canal con rango de trabajo de 10 a 100 µL, apta para transferencias precisas de líquidos en aplicaciones rutinarias de laboratorio.</w:t>
            </w:r>
          </w:p>
        </w:tc>
        <w:tc>
          <w:tcPr>
            <w:tcW w:w="541" w:type="dxa"/>
            <w:shd w:val="clear" w:color="auto" w:fill="auto"/>
            <w:hideMark/>
          </w:tcPr>
          <w:p w14:paraId="66FBA8C1"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5F85E4F4"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2EAD539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4A6D61E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313.000 </w:t>
            </w:r>
          </w:p>
        </w:tc>
        <w:tc>
          <w:tcPr>
            <w:tcW w:w="911" w:type="dxa"/>
            <w:shd w:val="clear" w:color="000000" w:fill="FFFFFF"/>
            <w:noWrap/>
            <w:hideMark/>
          </w:tcPr>
          <w:p w14:paraId="61510F9D"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626.000 </w:t>
            </w:r>
          </w:p>
        </w:tc>
      </w:tr>
      <w:tr w:rsidR="00581335" w:rsidRPr="002439C6" w14:paraId="122E61B0" w14:textId="77777777" w:rsidTr="00581335">
        <w:trPr>
          <w:trHeight w:val="816"/>
        </w:trPr>
        <w:tc>
          <w:tcPr>
            <w:tcW w:w="348" w:type="dxa"/>
            <w:shd w:val="clear" w:color="auto" w:fill="auto"/>
            <w:noWrap/>
            <w:hideMark/>
          </w:tcPr>
          <w:p w14:paraId="51F50C2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174</w:t>
            </w:r>
          </w:p>
        </w:tc>
        <w:tc>
          <w:tcPr>
            <w:tcW w:w="1632" w:type="dxa"/>
            <w:shd w:val="clear" w:color="auto" w:fill="auto"/>
            <w:noWrap/>
            <w:hideMark/>
          </w:tcPr>
          <w:p w14:paraId="40E0D49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Micropipeta automática monocanal de volumen variable (20–200 µL)</w:t>
            </w:r>
          </w:p>
        </w:tc>
        <w:tc>
          <w:tcPr>
            <w:tcW w:w="3283" w:type="dxa"/>
            <w:shd w:val="clear" w:color="auto" w:fill="auto"/>
            <w:hideMark/>
          </w:tcPr>
          <w:p w14:paraId="0C479DB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Instrumento de precisión con capacidad ajustable entre 20 y 200 µL, utilizado para la dispensación exacta de volúmenes intermedios de líquidos en análisis químicos, microbiológicos y bioquímicos.</w:t>
            </w:r>
          </w:p>
        </w:tc>
        <w:tc>
          <w:tcPr>
            <w:tcW w:w="541" w:type="dxa"/>
            <w:shd w:val="clear" w:color="auto" w:fill="auto"/>
            <w:hideMark/>
          </w:tcPr>
          <w:p w14:paraId="327928B4"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2</w:t>
            </w:r>
          </w:p>
        </w:tc>
        <w:tc>
          <w:tcPr>
            <w:tcW w:w="478" w:type="dxa"/>
            <w:shd w:val="clear" w:color="auto" w:fill="auto"/>
            <w:noWrap/>
            <w:hideMark/>
          </w:tcPr>
          <w:p w14:paraId="6D1B4AF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B17F42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70FEFAF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313.000 </w:t>
            </w:r>
          </w:p>
        </w:tc>
        <w:tc>
          <w:tcPr>
            <w:tcW w:w="911" w:type="dxa"/>
            <w:shd w:val="clear" w:color="000000" w:fill="FFFFFF"/>
            <w:noWrap/>
            <w:hideMark/>
          </w:tcPr>
          <w:p w14:paraId="00EFFFA1"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626.000 </w:t>
            </w:r>
          </w:p>
        </w:tc>
      </w:tr>
      <w:tr w:rsidR="00581335" w:rsidRPr="002439C6" w14:paraId="019AFF39" w14:textId="77777777" w:rsidTr="00581335">
        <w:trPr>
          <w:trHeight w:val="612"/>
        </w:trPr>
        <w:tc>
          <w:tcPr>
            <w:tcW w:w="348" w:type="dxa"/>
            <w:shd w:val="clear" w:color="auto" w:fill="auto"/>
            <w:noWrap/>
            <w:hideMark/>
          </w:tcPr>
          <w:p w14:paraId="1866582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175</w:t>
            </w:r>
          </w:p>
        </w:tc>
        <w:tc>
          <w:tcPr>
            <w:tcW w:w="1632" w:type="dxa"/>
            <w:shd w:val="clear" w:color="auto" w:fill="auto"/>
            <w:noWrap/>
            <w:hideMark/>
          </w:tcPr>
          <w:p w14:paraId="294FE25D"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Micropipeta automática monocanal de volumen variable (100–1000 µL)</w:t>
            </w:r>
          </w:p>
        </w:tc>
        <w:tc>
          <w:tcPr>
            <w:tcW w:w="3283" w:type="dxa"/>
            <w:shd w:val="clear" w:color="auto" w:fill="auto"/>
            <w:hideMark/>
          </w:tcPr>
          <w:p w14:paraId="78ABC8F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Pipeta automática de un canal con rango ajustable de 100 a 1000 µL, diseñada para la transferencia precisa de volúmenes altos de reactivos y muestras líquidas.</w:t>
            </w:r>
          </w:p>
        </w:tc>
        <w:tc>
          <w:tcPr>
            <w:tcW w:w="541" w:type="dxa"/>
            <w:shd w:val="clear" w:color="auto" w:fill="auto"/>
            <w:hideMark/>
          </w:tcPr>
          <w:p w14:paraId="714A60C5"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5</w:t>
            </w:r>
          </w:p>
        </w:tc>
        <w:tc>
          <w:tcPr>
            <w:tcW w:w="478" w:type="dxa"/>
            <w:shd w:val="clear" w:color="auto" w:fill="auto"/>
            <w:noWrap/>
            <w:hideMark/>
          </w:tcPr>
          <w:p w14:paraId="4D6F597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43C89D8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24FEF5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313.000 </w:t>
            </w:r>
          </w:p>
        </w:tc>
        <w:tc>
          <w:tcPr>
            <w:tcW w:w="911" w:type="dxa"/>
            <w:shd w:val="clear" w:color="000000" w:fill="FFFFFF"/>
            <w:noWrap/>
            <w:hideMark/>
          </w:tcPr>
          <w:p w14:paraId="4F9E2916"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1.565.000 </w:t>
            </w:r>
          </w:p>
        </w:tc>
      </w:tr>
      <w:tr w:rsidR="00581335" w:rsidRPr="002439C6" w14:paraId="76A492FF" w14:textId="77777777" w:rsidTr="00581335">
        <w:trPr>
          <w:trHeight w:val="1020"/>
        </w:trPr>
        <w:tc>
          <w:tcPr>
            <w:tcW w:w="348" w:type="dxa"/>
            <w:shd w:val="clear" w:color="auto" w:fill="auto"/>
            <w:noWrap/>
            <w:hideMark/>
          </w:tcPr>
          <w:p w14:paraId="323DEA1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176</w:t>
            </w:r>
          </w:p>
        </w:tc>
        <w:tc>
          <w:tcPr>
            <w:tcW w:w="1632" w:type="dxa"/>
            <w:shd w:val="clear" w:color="auto" w:fill="auto"/>
            <w:noWrap/>
            <w:hideMark/>
          </w:tcPr>
          <w:p w14:paraId="0C4AAA5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Micropipeta automática multicanal de volumen variable, 8 canales (50–300 µL)</w:t>
            </w:r>
          </w:p>
        </w:tc>
        <w:tc>
          <w:tcPr>
            <w:tcW w:w="3283" w:type="dxa"/>
            <w:shd w:val="clear" w:color="auto" w:fill="auto"/>
            <w:hideMark/>
          </w:tcPr>
          <w:p w14:paraId="27765245"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Instrumento de ocho canales con rango ajustable de 20 a 200 µL, ideal para la dispensación simultánea de múltiples muestras en placas de microtitulación, optimizando el tiempo y la reproducibilidad de los análisis.</w:t>
            </w:r>
          </w:p>
        </w:tc>
        <w:tc>
          <w:tcPr>
            <w:tcW w:w="541" w:type="dxa"/>
            <w:shd w:val="clear" w:color="auto" w:fill="auto"/>
            <w:hideMark/>
          </w:tcPr>
          <w:p w14:paraId="013EDDCD"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w:t>
            </w:r>
          </w:p>
        </w:tc>
        <w:tc>
          <w:tcPr>
            <w:tcW w:w="478" w:type="dxa"/>
            <w:shd w:val="clear" w:color="auto" w:fill="auto"/>
            <w:noWrap/>
            <w:hideMark/>
          </w:tcPr>
          <w:p w14:paraId="63CFAA3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30C12283"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7C55B6DB"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220.000 </w:t>
            </w:r>
          </w:p>
        </w:tc>
        <w:tc>
          <w:tcPr>
            <w:tcW w:w="911" w:type="dxa"/>
            <w:shd w:val="clear" w:color="000000" w:fill="FFFFFF"/>
            <w:noWrap/>
            <w:hideMark/>
          </w:tcPr>
          <w:p w14:paraId="7F54E365"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220.000 </w:t>
            </w:r>
          </w:p>
        </w:tc>
      </w:tr>
      <w:tr w:rsidR="00581335" w:rsidRPr="002439C6" w14:paraId="5DE39F7A" w14:textId="77777777" w:rsidTr="00581335">
        <w:trPr>
          <w:trHeight w:val="1224"/>
        </w:trPr>
        <w:tc>
          <w:tcPr>
            <w:tcW w:w="348" w:type="dxa"/>
            <w:shd w:val="clear" w:color="auto" w:fill="auto"/>
            <w:noWrap/>
            <w:hideMark/>
          </w:tcPr>
          <w:p w14:paraId="22A843D7"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177</w:t>
            </w:r>
          </w:p>
        </w:tc>
        <w:tc>
          <w:tcPr>
            <w:tcW w:w="1632" w:type="dxa"/>
            <w:shd w:val="clear" w:color="auto" w:fill="auto"/>
            <w:noWrap/>
            <w:hideMark/>
          </w:tcPr>
          <w:p w14:paraId="2C3F44A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Soporte carrusel para pipetas</w:t>
            </w:r>
          </w:p>
        </w:tc>
        <w:tc>
          <w:tcPr>
            <w:tcW w:w="3283" w:type="dxa"/>
            <w:shd w:val="clear" w:color="auto" w:fill="auto"/>
            <w:hideMark/>
          </w:tcPr>
          <w:p w14:paraId="123A9C2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Soporte  para pipetas Tipo L Admite hasta 6 pipetas (tanto monocanal como</w:t>
            </w:r>
            <w:r w:rsidRPr="002439C6">
              <w:rPr>
                <w:rFonts w:eastAsia="Times New Roman" w:cs="Calibri"/>
                <w:color w:val="000000"/>
                <w:sz w:val="16"/>
                <w:szCs w:val="16"/>
                <w:lang w:eastAsia="es-PY"/>
              </w:rPr>
              <w:br/>
              <w:t>multicanal). Se adapta a la mayoría de las principales marcas de pipetas. Cada soporte individual para pipetas puede desmontarse y utilizarse como soporte de pared si es necesario.</w:t>
            </w:r>
          </w:p>
        </w:tc>
        <w:tc>
          <w:tcPr>
            <w:tcW w:w="541" w:type="dxa"/>
            <w:shd w:val="clear" w:color="auto" w:fill="auto"/>
            <w:hideMark/>
          </w:tcPr>
          <w:p w14:paraId="6D8669CC"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w:t>
            </w:r>
          </w:p>
        </w:tc>
        <w:tc>
          <w:tcPr>
            <w:tcW w:w="478" w:type="dxa"/>
            <w:shd w:val="clear" w:color="auto" w:fill="auto"/>
            <w:noWrap/>
            <w:hideMark/>
          </w:tcPr>
          <w:p w14:paraId="5895B63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027B2BAE"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4A47565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265.000 </w:t>
            </w:r>
          </w:p>
        </w:tc>
        <w:tc>
          <w:tcPr>
            <w:tcW w:w="911" w:type="dxa"/>
            <w:shd w:val="clear" w:color="000000" w:fill="FFFFFF"/>
            <w:noWrap/>
            <w:hideMark/>
          </w:tcPr>
          <w:p w14:paraId="2DC79D20"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265.000 </w:t>
            </w:r>
          </w:p>
        </w:tc>
      </w:tr>
      <w:tr w:rsidR="00581335" w:rsidRPr="002439C6" w14:paraId="56389BCF" w14:textId="77777777" w:rsidTr="00581335">
        <w:trPr>
          <w:trHeight w:val="3672"/>
        </w:trPr>
        <w:tc>
          <w:tcPr>
            <w:tcW w:w="348" w:type="dxa"/>
            <w:shd w:val="clear" w:color="auto" w:fill="auto"/>
            <w:noWrap/>
            <w:hideMark/>
          </w:tcPr>
          <w:p w14:paraId="0069F6C6"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178</w:t>
            </w:r>
          </w:p>
        </w:tc>
        <w:tc>
          <w:tcPr>
            <w:tcW w:w="1632" w:type="dxa"/>
            <w:shd w:val="clear" w:color="auto" w:fill="auto"/>
            <w:noWrap/>
            <w:hideMark/>
          </w:tcPr>
          <w:p w14:paraId="7C2CA92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Placas multipocillos</w:t>
            </w:r>
          </w:p>
        </w:tc>
        <w:tc>
          <w:tcPr>
            <w:tcW w:w="3283" w:type="dxa"/>
            <w:shd w:val="clear" w:color="auto" w:fill="auto"/>
            <w:hideMark/>
          </w:tcPr>
          <w:p w14:paraId="5862F35F"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Microplacas para lector de ELISA, fabricadas en poliestireno de alta calidad, estériles y con fondo cóncavo, diseñadas para garantizar una óptima adherencia de biomoléculas y una lectura precisa en espectrofotómetros o lectores de microplacas. Presentan formato estándar de 96 pocillos, con capacidad de 200 a 300 μL por pocillo, alta transparencia para asegurar una correcta detección óptica, bordes definidos que facilitan el pipeteo y paredes lisas que reducen la retención no específica. Se suministran con tapa para proteger el contenido, evitar evaporación y prevenir contaminación. Cada placa se encuentra envasada en condiciones estériles para asegurar la reproducibilidad de los ensayos. Compatibles con la mayoría de sistemas automáticos y manuales para ELISA, ofrecen un desempeño confiable en aplicaciones de diagnóstico, investigación y análisis bioquímico.</w:t>
            </w:r>
          </w:p>
        </w:tc>
        <w:tc>
          <w:tcPr>
            <w:tcW w:w="541" w:type="dxa"/>
            <w:shd w:val="clear" w:color="auto" w:fill="auto"/>
            <w:hideMark/>
          </w:tcPr>
          <w:p w14:paraId="671F6B6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5</w:t>
            </w:r>
          </w:p>
        </w:tc>
        <w:tc>
          <w:tcPr>
            <w:tcW w:w="478" w:type="dxa"/>
            <w:shd w:val="clear" w:color="auto" w:fill="auto"/>
            <w:noWrap/>
            <w:hideMark/>
          </w:tcPr>
          <w:p w14:paraId="3B697F0E"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593C0DFB"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6FF1447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74.445 </w:t>
            </w:r>
          </w:p>
        </w:tc>
        <w:tc>
          <w:tcPr>
            <w:tcW w:w="911" w:type="dxa"/>
            <w:shd w:val="clear" w:color="000000" w:fill="FFFFFF"/>
            <w:noWrap/>
            <w:hideMark/>
          </w:tcPr>
          <w:p w14:paraId="15DCE48C"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372.225 </w:t>
            </w:r>
          </w:p>
        </w:tc>
      </w:tr>
      <w:tr w:rsidR="00581335" w:rsidRPr="002439C6" w14:paraId="669BE661" w14:textId="77777777" w:rsidTr="00581335">
        <w:trPr>
          <w:trHeight w:val="2856"/>
        </w:trPr>
        <w:tc>
          <w:tcPr>
            <w:tcW w:w="348" w:type="dxa"/>
            <w:shd w:val="clear" w:color="auto" w:fill="auto"/>
            <w:noWrap/>
            <w:hideMark/>
          </w:tcPr>
          <w:p w14:paraId="54BE42F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179</w:t>
            </w:r>
          </w:p>
        </w:tc>
        <w:tc>
          <w:tcPr>
            <w:tcW w:w="1632" w:type="dxa"/>
            <w:shd w:val="clear" w:color="auto" w:fill="auto"/>
            <w:noWrap/>
            <w:hideMark/>
          </w:tcPr>
          <w:p w14:paraId="221B033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Tubos opticos para pcr tiempo real</w:t>
            </w:r>
          </w:p>
        </w:tc>
        <w:tc>
          <w:tcPr>
            <w:tcW w:w="3283" w:type="dxa"/>
            <w:shd w:val="clear" w:color="auto" w:fill="auto"/>
            <w:hideMark/>
          </w:tcPr>
          <w:p w14:paraId="01577C39"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Tubos ópticos para PCR en tiempo real, fabricados en polipropileno de alta pureza y libres de DNasa, RNasa y endotoxinas, diseñados con paredes ultrafinas y alta transparencia para maximizar la transmisión de señal fluorescente durante la detección. Cuentan con tapa óptica de cierre hermético que evita la evaporación y la contaminación cruzada, manteniendo la integridad de la reacción en todo el ciclo térmico. Disponibles en formato individual o en tiras de 8 tubos, con capacidad de 0,1 mL o 0,2 mL, compatibles con la mayoría de termocicladores en tiempo real. Resistentes a los cambios bruscos de temperatura y aptos para uso en aplicaciones </w:t>
            </w:r>
            <w:r w:rsidRPr="002439C6">
              <w:rPr>
                <w:rFonts w:eastAsia="Times New Roman" w:cs="Calibri"/>
                <w:color w:val="000000"/>
                <w:sz w:val="16"/>
                <w:szCs w:val="16"/>
                <w:lang w:eastAsia="es-PY"/>
              </w:rPr>
              <w:lastRenderedPageBreak/>
              <w:t>de cuantificación y análisis de expresión génica mediante PCR en tiempo real.</w:t>
            </w:r>
          </w:p>
        </w:tc>
        <w:tc>
          <w:tcPr>
            <w:tcW w:w="541" w:type="dxa"/>
            <w:shd w:val="clear" w:color="auto" w:fill="auto"/>
            <w:hideMark/>
          </w:tcPr>
          <w:p w14:paraId="14455A5F"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lastRenderedPageBreak/>
              <w:t>1</w:t>
            </w:r>
          </w:p>
        </w:tc>
        <w:tc>
          <w:tcPr>
            <w:tcW w:w="478" w:type="dxa"/>
            <w:shd w:val="clear" w:color="auto" w:fill="auto"/>
            <w:noWrap/>
            <w:hideMark/>
          </w:tcPr>
          <w:p w14:paraId="43A8A2D0"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377AE2A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Bolsa</w:t>
            </w:r>
          </w:p>
        </w:tc>
        <w:tc>
          <w:tcPr>
            <w:tcW w:w="911" w:type="dxa"/>
            <w:shd w:val="clear" w:color="auto" w:fill="auto"/>
            <w:noWrap/>
            <w:hideMark/>
          </w:tcPr>
          <w:p w14:paraId="00564E81"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4.334.214 </w:t>
            </w:r>
          </w:p>
        </w:tc>
        <w:tc>
          <w:tcPr>
            <w:tcW w:w="911" w:type="dxa"/>
            <w:shd w:val="clear" w:color="000000" w:fill="FFFFFF"/>
            <w:noWrap/>
            <w:hideMark/>
          </w:tcPr>
          <w:p w14:paraId="0A0E6DED" w14:textId="77777777" w:rsidR="002439C6" w:rsidRPr="002439C6" w:rsidRDefault="002439C6" w:rsidP="002439C6">
            <w:pPr>
              <w:spacing w:after="0" w:line="240" w:lineRule="auto"/>
              <w:rPr>
                <w:rFonts w:eastAsia="Times New Roman" w:cs="Calibri"/>
                <w:sz w:val="16"/>
                <w:szCs w:val="16"/>
                <w:lang w:eastAsia="es-PY"/>
              </w:rPr>
            </w:pPr>
            <w:r w:rsidRPr="002439C6">
              <w:rPr>
                <w:rFonts w:eastAsia="Times New Roman" w:cs="Calibri"/>
                <w:sz w:val="16"/>
                <w:szCs w:val="16"/>
                <w:lang w:eastAsia="es-PY"/>
              </w:rPr>
              <w:t xml:space="preserve">             4.334.214 </w:t>
            </w:r>
          </w:p>
        </w:tc>
      </w:tr>
      <w:tr w:rsidR="00581335" w:rsidRPr="002439C6" w14:paraId="64EFBE68" w14:textId="77777777" w:rsidTr="00581335">
        <w:trPr>
          <w:trHeight w:val="3672"/>
        </w:trPr>
        <w:tc>
          <w:tcPr>
            <w:tcW w:w="348" w:type="dxa"/>
            <w:shd w:val="clear" w:color="auto" w:fill="auto"/>
            <w:noWrap/>
            <w:hideMark/>
          </w:tcPr>
          <w:p w14:paraId="05E1F1D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180</w:t>
            </w:r>
          </w:p>
        </w:tc>
        <w:tc>
          <w:tcPr>
            <w:tcW w:w="1632" w:type="dxa"/>
            <w:shd w:val="clear" w:color="auto" w:fill="auto"/>
            <w:noWrap/>
            <w:hideMark/>
          </w:tcPr>
          <w:p w14:paraId="4806C0A2"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Bandeja UV para muestras</w:t>
            </w:r>
          </w:p>
        </w:tc>
        <w:tc>
          <w:tcPr>
            <w:tcW w:w="3283" w:type="dxa"/>
            <w:shd w:val="clear" w:color="auto" w:fill="auto"/>
            <w:hideMark/>
          </w:tcPr>
          <w:p w14:paraId="4618DB4C"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Bandeja UV para muestras compatible con el sistema de fotodocumentador de geles. Accesorio diseñado para la visualización, documentación y análisis de muestras fluorescentes en geles de agarosa o poliacrilamida mediante iluminación ultravioleta. Compatible con sistemas de captura digital de imágenes para aplicaciones en biología molecular, genética, microbiología y diagnóstico molecular. Fabricada con materiales resistentes a la radiación UV y al uso continuo en laboratorio, permitiendo una distribución uniforme de la iluminación para una adecuada detección de ácidos nucleicos y otras moléculas marcadas con fluorocromos. Facilita la obtención de imágenes de alta calidad para documentación, análisis y procesamiento de resultados experimentales. Adecuada para laboratorios de investigación, control de calidad, diagnóstico y docencia.</w:t>
            </w:r>
          </w:p>
        </w:tc>
        <w:tc>
          <w:tcPr>
            <w:tcW w:w="541" w:type="dxa"/>
            <w:shd w:val="clear" w:color="auto" w:fill="auto"/>
            <w:hideMark/>
          </w:tcPr>
          <w:p w14:paraId="42A1C149"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1</w:t>
            </w:r>
          </w:p>
        </w:tc>
        <w:tc>
          <w:tcPr>
            <w:tcW w:w="478" w:type="dxa"/>
            <w:shd w:val="clear" w:color="auto" w:fill="auto"/>
            <w:noWrap/>
            <w:hideMark/>
          </w:tcPr>
          <w:p w14:paraId="5280DCB8"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unidad</w:t>
            </w:r>
          </w:p>
        </w:tc>
        <w:tc>
          <w:tcPr>
            <w:tcW w:w="724" w:type="dxa"/>
            <w:shd w:val="clear" w:color="auto" w:fill="auto"/>
            <w:noWrap/>
            <w:hideMark/>
          </w:tcPr>
          <w:p w14:paraId="34A05876" w14:textId="77777777" w:rsidR="002439C6" w:rsidRPr="002439C6" w:rsidRDefault="002439C6" w:rsidP="002439C6">
            <w:pPr>
              <w:spacing w:after="0" w:line="240" w:lineRule="auto"/>
              <w:rPr>
                <w:rFonts w:ascii="Arial" w:eastAsia="Times New Roman" w:hAnsi="Arial" w:cs="Arial"/>
                <w:color w:val="000000"/>
                <w:sz w:val="16"/>
                <w:szCs w:val="16"/>
                <w:lang w:eastAsia="es-PY"/>
              </w:rPr>
            </w:pPr>
            <w:r w:rsidRPr="002439C6">
              <w:rPr>
                <w:rFonts w:ascii="Arial" w:eastAsia="Times New Roman" w:hAnsi="Arial" w:cs="Arial"/>
                <w:color w:val="000000"/>
                <w:sz w:val="16"/>
                <w:szCs w:val="16"/>
                <w:lang w:eastAsia="es-PY"/>
              </w:rPr>
              <w:t>Unidad</w:t>
            </w:r>
          </w:p>
        </w:tc>
        <w:tc>
          <w:tcPr>
            <w:tcW w:w="911" w:type="dxa"/>
            <w:shd w:val="clear" w:color="auto" w:fill="auto"/>
            <w:noWrap/>
            <w:hideMark/>
          </w:tcPr>
          <w:p w14:paraId="066E63A3"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11.300.000 </w:t>
            </w:r>
          </w:p>
        </w:tc>
        <w:tc>
          <w:tcPr>
            <w:tcW w:w="911" w:type="dxa"/>
            <w:shd w:val="clear" w:color="000000" w:fill="FFFFFF"/>
            <w:noWrap/>
            <w:hideMark/>
          </w:tcPr>
          <w:p w14:paraId="53F1239A" w14:textId="77777777" w:rsidR="002439C6" w:rsidRPr="002439C6" w:rsidRDefault="002439C6" w:rsidP="002439C6">
            <w:pPr>
              <w:spacing w:after="0" w:line="240" w:lineRule="auto"/>
              <w:rPr>
                <w:rFonts w:eastAsia="Times New Roman" w:cs="Calibri"/>
                <w:color w:val="000000"/>
                <w:sz w:val="16"/>
                <w:szCs w:val="16"/>
                <w:lang w:eastAsia="es-PY"/>
              </w:rPr>
            </w:pPr>
            <w:r w:rsidRPr="002439C6">
              <w:rPr>
                <w:rFonts w:eastAsia="Times New Roman" w:cs="Calibri"/>
                <w:color w:val="000000"/>
                <w:sz w:val="16"/>
                <w:szCs w:val="16"/>
                <w:lang w:eastAsia="es-PY"/>
              </w:rPr>
              <w:t xml:space="preserve">           11.300.000 </w:t>
            </w:r>
          </w:p>
        </w:tc>
      </w:tr>
    </w:tbl>
    <w:p w14:paraId="67A5C3E3" w14:textId="77777777" w:rsidR="00697F7F" w:rsidRDefault="00697F7F" w:rsidP="007943B8">
      <w:pPr>
        <w:pStyle w:val="Tablaconcuadrcula"/>
        <w:pBdr>
          <w:bottom w:val="single" w:sz="4" w:space="1" w:color="auto"/>
        </w:pBdr>
        <w:tabs>
          <w:tab w:val="left" w:pos="284"/>
        </w:tabs>
        <w:spacing w:line="276" w:lineRule="auto"/>
        <w:jc w:val="both"/>
        <w:rPr>
          <w:rFonts w:asciiTheme="majorHAnsi" w:hAnsiTheme="majorHAnsi" w:cstheme="majorHAnsi"/>
          <w:sz w:val="22"/>
          <w:szCs w:val="22"/>
        </w:rPr>
      </w:pPr>
    </w:p>
    <w:tbl>
      <w:tblPr>
        <w:tblW w:w="0" w:type="auto"/>
        <w:tblCellMar>
          <w:left w:w="70" w:type="dxa"/>
          <w:right w:w="70" w:type="dxa"/>
        </w:tblCellMar>
        <w:tblLook w:val="04A0" w:firstRow="1" w:lastRow="0" w:firstColumn="1" w:lastColumn="0" w:noHBand="0" w:noVBand="1"/>
      </w:tblPr>
      <w:tblGrid>
        <w:gridCol w:w="416"/>
        <w:gridCol w:w="2169"/>
        <w:gridCol w:w="1700"/>
        <w:gridCol w:w="674"/>
        <w:gridCol w:w="630"/>
        <w:gridCol w:w="919"/>
        <w:gridCol w:w="1160"/>
        <w:gridCol w:w="1160"/>
      </w:tblGrid>
      <w:tr w:rsidR="00581335" w:rsidRPr="00581335" w14:paraId="62DA2A4E" w14:textId="77777777" w:rsidTr="00581335">
        <w:trPr>
          <w:trHeight w:val="612"/>
          <w:tblHeader/>
        </w:trPr>
        <w:tc>
          <w:tcPr>
            <w:tcW w:w="8828" w:type="dxa"/>
            <w:gridSpan w:val="8"/>
            <w:tcBorders>
              <w:top w:val="single" w:sz="4" w:space="0" w:color="auto"/>
              <w:left w:val="single" w:sz="4" w:space="0" w:color="auto"/>
              <w:bottom w:val="single" w:sz="4" w:space="0" w:color="auto"/>
              <w:right w:val="single" w:sz="4" w:space="0" w:color="auto"/>
            </w:tcBorders>
            <w:shd w:val="clear" w:color="000000" w:fill="92D050"/>
          </w:tcPr>
          <w:p w14:paraId="0DD94289" w14:textId="01B13455" w:rsidR="00581335" w:rsidRPr="00581335" w:rsidRDefault="00581335" w:rsidP="00581335">
            <w:pPr>
              <w:spacing w:after="0" w:line="240" w:lineRule="auto"/>
              <w:jc w:val="center"/>
              <w:rPr>
                <w:rFonts w:asciiTheme="majorHAnsi" w:eastAsia="Times New Roman" w:hAnsiTheme="majorHAnsi" w:cstheme="majorHAnsi"/>
                <w:b/>
                <w:bCs/>
                <w:color w:val="000000"/>
                <w:sz w:val="16"/>
                <w:szCs w:val="16"/>
                <w:lang w:eastAsia="es-PY"/>
              </w:rPr>
            </w:pPr>
            <w:r>
              <w:rPr>
                <w:rFonts w:asciiTheme="majorHAnsi" w:eastAsia="Times New Roman" w:hAnsiTheme="majorHAnsi" w:cstheme="majorHAnsi"/>
                <w:b/>
                <w:bCs/>
                <w:color w:val="000000"/>
                <w:sz w:val="16"/>
                <w:szCs w:val="16"/>
                <w:lang w:eastAsia="es-PY"/>
              </w:rPr>
              <w:t>PROYECTO ESTR01-4</w:t>
            </w:r>
          </w:p>
        </w:tc>
      </w:tr>
      <w:tr w:rsidR="00581335" w:rsidRPr="00581335" w14:paraId="63388AEA" w14:textId="77777777" w:rsidTr="00581335">
        <w:trPr>
          <w:trHeight w:val="612"/>
          <w:tblHeader/>
        </w:trPr>
        <w:tc>
          <w:tcPr>
            <w:tcW w:w="410" w:type="dxa"/>
            <w:tcBorders>
              <w:top w:val="single" w:sz="4" w:space="0" w:color="auto"/>
              <w:left w:val="single" w:sz="4" w:space="0" w:color="auto"/>
              <w:bottom w:val="single" w:sz="4" w:space="0" w:color="auto"/>
              <w:right w:val="single" w:sz="4" w:space="0" w:color="auto"/>
            </w:tcBorders>
            <w:shd w:val="clear" w:color="000000" w:fill="92D050"/>
            <w:hideMark/>
          </w:tcPr>
          <w:p w14:paraId="12E92D56" w14:textId="77777777" w:rsidR="00581335" w:rsidRPr="00581335" w:rsidRDefault="00581335" w:rsidP="00581335">
            <w:pPr>
              <w:spacing w:after="0" w:line="240" w:lineRule="auto"/>
              <w:rPr>
                <w:rFonts w:asciiTheme="majorHAnsi" w:eastAsia="Times New Roman" w:hAnsiTheme="majorHAnsi" w:cstheme="majorHAnsi"/>
                <w:b/>
                <w:bCs/>
                <w:color w:val="000000"/>
                <w:sz w:val="16"/>
                <w:szCs w:val="16"/>
                <w:lang w:eastAsia="es-PY"/>
              </w:rPr>
            </w:pPr>
            <w:r w:rsidRPr="00581335">
              <w:rPr>
                <w:rFonts w:asciiTheme="majorHAnsi" w:eastAsia="Times New Roman" w:hAnsiTheme="majorHAnsi" w:cstheme="majorHAnsi"/>
                <w:b/>
                <w:bCs/>
                <w:color w:val="000000"/>
                <w:sz w:val="16"/>
                <w:szCs w:val="16"/>
                <w:lang w:eastAsia="es-PY"/>
              </w:rPr>
              <w:t xml:space="preserve">Ítem N° </w:t>
            </w:r>
          </w:p>
        </w:tc>
        <w:tc>
          <w:tcPr>
            <w:tcW w:w="2325" w:type="dxa"/>
            <w:tcBorders>
              <w:top w:val="single" w:sz="4" w:space="0" w:color="auto"/>
              <w:left w:val="nil"/>
              <w:bottom w:val="single" w:sz="4" w:space="0" w:color="auto"/>
              <w:right w:val="single" w:sz="4" w:space="0" w:color="auto"/>
            </w:tcBorders>
            <w:shd w:val="clear" w:color="000000" w:fill="92D050"/>
            <w:noWrap/>
            <w:hideMark/>
          </w:tcPr>
          <w:p w14:paraId="167CFEEF" w14:textId="77777777" w:rsidR="00581335" w:rsidRPr="00581335" w:rsidRDefault="00581335" w:rsidP="00581335">
            <w:pPr>
              <w:spacing w:after="0" w:line="240" w:lineRule="auto"/>
              <w:rPr>
                <w:rFonts w:asciiTheme="majorHAnsi" w:eastAsia="Times New Roman" w:hAnsiTheme="majorHAnsi" w:cstheme="majorHAnsi"/>
                <w:b/>
                <w:bCs/>
                <w:color w:val="000000"/>
                <w:sz w:val="16"/>
                <w:szCs w:val="16"/>
                <w:lang w:eastAsia="es-PY"/>
              </w:rPr>
            </w:pPr>
            <w:r w:rsidRPr="00581335">
              <w:rPr>
                <w:rFonts w:asciiTheme="majorHAnsi" w:eastAsia="Times New Roman" w:hAnsiTheme="majorHAnsi" w:cstheme="majorHAnsi"/>
                <w:b/>
                <w:bCs/>
                <w:color w:val="000000"/>
                <w:sz w:val="16"/>
                <w:szCs w:val="16"/>
                <w:lang w:eastAsia="es-PY"/>
              </w:rPr>
              <w:t>Descripción del bien</w:t>
            </w:r>
          </w:p>
        </w:tc>
        <w:tc>
          <w:tcPr>
            <w:tcW w:w="0" w:type="auto"/>
            <w:tcBorders>
              <w:top w:val="single" w:sz="4" w:space="0" w:color="auto"/>
              <w:left w:val="nil"/>
              <w:bottom w:val="single" w:sz="4" w:space="0" w:color="auto"/>
              <w:right w:val="single" w:sz="4" w:space="0" w:color="auto"/>
            </w:tcBorders>
            <w:shd w:val="clear" w:color="000000" w:fill="92D050"/>
            <w:noWrap/>
            <w:hideMark/>
          </w:tcPr>
          <w:p w14:paraId="544CC8C3" w14:textId="77777777" w:rsidR="00581335" w:rsidRPr="00581335" w:rsidRDefault="00581335" w:rsidP="00581335">
            <w:pPr>
              <w:spacing w:after="0" w:line="240" w:lineRule="auto"/>
              <w:rPr>
                <w:rFonts w:asciiTheme="majorHAnsi" w:eastAsia="Times New Roman" w:hAnsiTheme="majorHAnsi" w:cstheme="majorHAnsi"/>
                <w:b/>
                <w:bCs/>
                <w:color w:val="000000"/>
                <w:sz w:val="16"/>
                <w:szCs w:val="16"/>
                <w:lang w:eastAsia="es-PY"/>
              </w:rPr>
            </w:pPr>
            <w:r w:rsidRPr="00581335">
              <w:rPr>
                <w:rFonts w:asciiTheme="majorHAnsi" w:eastAsia="Times New Roman" w:hAnsiTheme="majorHAnsi" w:cstheme="majorHAnsi"/>
                <w:b/>
                <w:bCs/>
                <w:color w:val="000000"/>
                <w:sz w:val="16"/>
                <w:szCs w:val="16"/>
                <w:lang w:eastAsia="es-PY"/>
              </w:rPr>
              <w:t>Especificaciones técnicas</w:t>
            </w:r>
          </w:p>
        </w:tc>
        <w:tc>
          <w:tcPr>
            <w:tcW w:w="0" w:type="auto"/>
            <w:tcBorders>
              <w:top w:val="single" w:sz="4" w:space="0" w:color="auto"/>
              <w:left w:val="nil"/>
              <w:bottom w:val="single" w:sz="4" w:space="0" w:color="auto"/>
              <w:right w:val="single" w:sz="4" w:space="0" w:color="auto"/>
            </w:tcBorders>
            <w:shd w:val="clear" w:color="000000" w:fill="92D050"/>
            <w:hideMark/>
          </w:tcPr>
          <w:p w14:paraId="20BED04C" w14:textId="77777777" w:rsidR="00581335" w:rsidRPr="00581335" w:rsidRDefault="00581335" w:rsidP="00581335">
            <w:pPr>
              <w:spacing w:after="0" w:line="240" w:lineRule="auto"/>
              <w:rPr>
                <w:rFonts w:asciiTheme="majorHAnsi" w:eastAsia="Times New Roman" w:hAnsiTheme="majorHAnsi" w:cstheme="majorHAnsi"/>
                <w:b/>
                <w:bCs/>
                <w:color w:val="000000"/>
                <w:sz w:val="16"/>
                <w:szCs w:val="16"/>
                <w:lang w:eastAsia="es-PY"/>
              </w:rPr>
            </w:pPr>
            <w:r w:rsidRPr="00581335">
              <w:rPr>
                <w:rFonts w:asciiTheme="majorHAnsi" w:eastAsia="Times New Roman" w:hAnsiTheme="majorHAnsi" w:cstheme="majorHAnsi"/>
                <w:b/>
                <w:bCs/>
                <w:color w:val="000000"/>
                <w:sz w:val="16"/>
                <w:szCs w:val="16"/>
                <w:lang w:eastAsia="es-PY"/>
              </w:rPr>
              <w:t xml:space="preserve">Cantidad </w:t>
            </w:r>
          </w:p>
        </w:tc>
        <w:tc>
          <w:tcPr>
            <w:tcW w:w="0" w:type="auto"/>
            <w:tcBorders>
              <w:top w:val="single" w:sz="4" w:space="0" w:color="auto"/>
              <w:left w:val="nil"/>
              <w:bottom w:val="single" w:sz="4" w:space="0" w:color="auto"/>
              <w:right w:val="single" w:sz="4" w:space="0" w:color="auto"/>
            </w:tcBorders>
            <w:shd w:val="clear" w:color="000000" w:fill="92D050"/>
            <w:hideMark/>
          </w:tcPr>
          <w:p w14:paraId="5349C189" w14:textId="77777777" w:rsidR="00581335" w:rsidRPr="00581335" w:rsidRDefault="00581335" w:rsidP="00581335">
            <w:pPr>
              <w:spacing w:after="0" w:line="240" w:lineRule="auto"/>
              <w:rPr>
                <w:rFonts w:asciiTheme="majorHAnsi" w:eastAsia="Times New Roman" w:hAnsiTheme="majorHAnsi" w:cstheme="majorHAnsi"/>
                <w:b/>
                <w:bCs/>
                <w:color w:val="000000"/>
                <w:sz w:val="16"/>
                <w:szCs w:val="16"/>
                <w:lang w:eastAsia="es-PY"/>
              </w:rPr>
            </w:pPr>
            <w:r w:rsidRPr="00581335">
              <w:rPr>
                <w:rFonts w:asciiTheme="majorHAnsi" w:eastAsia="Times New Roman" w:hAnsiTheme="majorHAnsi" w:cstheme="majorHAnsi"/>
                <w:b/>
                <w:bCs/>
                <w:color w:val="000000"/>
                <w:sz w:val="16"/>
                <w:szCs w:val="16"/>
                <w:lang w:eastAsia="es-PY"/>
              </w:rPr>
              <w:t xml:space="preserve">Unidad de medida </w:t>
            </w:r>
          </w:p>
        </w:tc>
        <w:tc>
          <w:tcPr>
            <w:tcW w:w="0" w:type="auto"/>
            <w:tcBorders>
              <w:top w:val="single" w:sz="4" w:space="0" w:color="auto"/>
              <w:left w:val="nil"/>
              <w:bottom w:val="single" w:sz="4" w:space="0" w:color="auto"/>
              <w:right w:val="single" w:sz="4" w:space="0" w:color="auto"/>
            </w:tcBorders>
            <w:shd w:val="clear" w:color="000000" w:fill="92D050"/>
            <w:hideMark/>
          </w:tcPr>
          <w:p w14:paraId="4F927B03" w14:textId="77777777" w:rsidR="00581335" w:rsidRPr="00581335" w:rsidRDefault="00581335" w:rsidP="00581335">
            <w:pPr>
              <w:spacing w:after="0" w:line="240" w:lineRule="auto"/>
              <w:rPr>
                <w:rFonts w:asciiTheme="majorHAnsi" w:eastAsia="Times New Roman" w:hAnsiTheme="majorHAnsi" w:cstheme="majorHAnsi"/>
                <w:b/>
                <w:bCs/>
                <w:color w:val="000000"/>
                <w:sz w:val="16"/>
                <w:szCs w:val="16"/>
                <w:lang w:eastAsia="es-PY"/>
              </w:rPr>
            </w:pPr>
            <w:r w:rsidRPr="00581335">
              <w:rPr>
                <w:rFonts w:asciiTheme="majorHAnsi" w:eastAsia="Times New Roman" w:hAnsiTheme="majorHAnsi" w:cstheme="majorHAnsi"/>
                <w:b/>
                <w:bCs/>
                <w:color w:val="000000"/>
                <w:sz w:val="16"/>
                <w:szCs w:val="16"/>
                <w:lang w:eastAsia="es-PY"/>
              </w:rPr>
              <w:t xml:space="preserve">Presentación </w:t>
            </w:r>
          </w:p>
        </w:tc>
        <w:tc>
          <w:tcPr>
            <w:tcW w:w="0" w:type="auto"/>
            <w:tcBorders>
              <w:top w:val="single" w:sz="4" w:space="0" w:color="auto"/>
              <w:left w:val="nil"/>
              <w:bottom w:val="single" w:sz="4" w:space="0" w:color="auto"/>
              <w:right w:val="single" w:sz="4" w:space="0" w:color="auto"/>
            </w:tcBorders>
            <w:shd w:val="clear" w:color="000000" w:fill="92D050"/>
            <w:hideMark/>
          </w:tcPr>
          <w:p w14:paraId="4185FE8D" w14:textId="77777777" w:rsidR="00581335" w:rsidRPr="00581335" w:rsidRDefault="00581335" w:rsidP="00581335">
            <w:pPr>
              <w:spacing w:after="0" w:line="240" w:lineRule="auto"/>
              <w:rPr>
                <w:rFonts w:asciiTheme="majorHAnsi" w:eastAsia="Times New Roman" w:hAnsiTheme="majorHAnsi" w:cstheme="majorHAnsi"/>
                <w:b/>
                <w:bCs/>
                <w:color w:val="000000"/>
                <w:sz w:val="16"/>
                <w:szCs w:val="16"/>
                <w:lang w:eastAsia="es-PY"/>
              </w:rPr>
            </w:pPr>
            <w:r w:rsidRPr="00581335">
              <w:rPr>
                <w:rFonts w:asciiTheme="majorHAnsi" w:eastAsia="Times New Roman" w:hAnsiTheme="majorHAnsi" w:cstheme="majorHAnsi"/>
                <w:b/>
                <w:bCs/>
                <w:color w:val="000000"/>
                <w:sz w:val="16"/>
                <w:szCs w:val="16"/>
                <w:lang w:eastAsia="es-PY"/>
              </w:rPr>
              <w:t xml:space="preserve"> Precio Unitario Referencial (IVA INCLUIDO) </w:t>
            </w:r>
          </w:p>
        </w:tc>
        <w:tc>
          <w:tcPr>
            <w:tcW w:w="0" w:type="auto"/>
            <w:tcBorders>
              <w:top w:val="single" w:sz="4" w:space="0" w:color="auto"/>
              <w:left w:val="nil"/>
              <w:bottom w:val="single" w:sz="4" w:space="0" w:color="auto"/>
              <w:right w:val="single" w:sz="4" w:space="0" w:color="auto"/>
            </w:tcBorders>
            <w:shd w:val="clear" w:color="000000" w:fill="92D050"/>
            <w:hideMark/>
          </w:tcPr>
          <w:p w14:paraId="4C83469B" w14:textId="77777777" w:rsidR="00581335" w:rsidRPr="00581335" w:rsidRDefault="00581335" w:rsidP="00581335">
            <w:pPr>
              <w:spacing w:after="0" w:line="240" w:lineRule="auto"/>
              <w:rPr>
                <w:rFonts w:asciiTheme="majorHAnsi" w:eastAsia="Times New Roman" w:hAnsiTheme="majorHAnsi" w:cstheme="majorHAnsi"/>
                <w:b/>
                <w:bCs/>
                <w:color w:val="000000"/>
                <w:sz w:val="16"/>
                <w:szCs w:val="16"/>
                <w:lang w:eastAsia="es-PY"/>
              </w:rPr>
            </w:pPr>
            <w:r w:rsidRPr="00581335">
              <w:rPr>
                <w:rFonts w:asciiTheme="majorHAnsi" w:eastAsia="Times New Roman" w:hAnsiTheme="majorHAnsi" w:cstheme="majorHAnsi"/>
                <w:b/>
                <w:bCs/>
                <w:color w:val="000000"/>
                <w:sz w:val="16"/>
                <w:szCs w:val="16"/>
                <w:lang w:eastAsia="es-PY"/>
              </w:rPr>
              <w:t xml:space="preserve"> Precio Total Referencial (IVA INCLUIDO) </w:t>
            </w:r>
          </w:p>
        </w:tc>
      </w:tr>
      <w:tr w:rsidR="00581335" w:rsidRPr="00581335" w14:paraId="18229882" w14:textId="77777777" w:rsidTr="00581335">
        <w:trPr>
          <w:trHeight w:val="5712"/>
        </w:trPr>
        <w:tc>
          <w:tcPr>
            <w:tcW w:w="410" w:type="dxa"/>
            <w:tcBorders>
              <w:top w:val="nil"/>
              <w:left w:val="single" w:sz="4" w:space="0" w:color="auto"/>
              <w:bottom w:val="single" w:sz="4" w:space="0" w:color="auto"/>
              <w:right w:val="single" w:sz="4" w:space="0" w:color="auto"/>
            </w:tcBorders>
            <w:shd w:val="clear" w:color="auto" w:fill="auto"/>
            <w:noWrap/>
            <w:hideMark/>
          </w:tcPr>
          <w:p w14:paraId="0B360E5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181</w:t>
            </w:r>
          </w:p>
        </w:tc>
        <w:tc>
          <w:tcPr>
            <w:tcW w:w="2325" w:type="dxa"/>
            <w:tcBorders>
              <w:top w:val="nil"/>
              <w:left w:val="nil"/>
              <w:bottom w:val="single" w:sz="4" w:space="0" w:color="auto"/>
              <w:right w:val="single" w:sz="4" w:space="0" w:color="auto"/>
            </w:tcBorders>
            <w:shd w:val="clear" w:color="auto" w:fill="auto"/>
            <w:hideMark/>
          </w:tcPr>
          <w:p w14:paraId="33D12FEB"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Ultracongelador de laboratorio de ultra baja temperatura (–80 °C) tipo compacto o equivalente</w:t>
            </w:r>
          </w:p>
        </w:tc>
        <w:tc>
          <w:tcPr>
            <w:tcW w:w="0" w:type="auto"/>
            <w:tcBorders>
              <w:top w:val="nil"/>
              <w:left w:val="nil"/>
              <w:bottom w:val="single" w:sz="4" w:space="0" w:color="auto"/>
              <w:right w:val="single" w:sz="4" w:space="0" w:color="auto"/>
            </w:tcBorders>
            <w:shd w:val="clear" w:color="auto" w:fill="auto"/>
            <w:hideMark/>
          </w:tcPr>
          <w:p w14:paraId="7B281E10"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Ultracongelador compacto de ultra baja temperatura con capacidad de 58 litros, diseñado para el almacenamiento seguro de muestras biológicas, reactivos sensibles, cepas microbianas, ADN, ARN y otros materiales que requieren conservación a temperaturas ultrabajas. Posee un rango de operación de -40 °C a -86 °C, con sistema de enfriamiento directo y tecnología de auto-cascada controlada por microprocesador, garantizando estabilidad térmica y alta eficiencia de conservación. Cuenta con pantalla LED digital para monitoreo de temperatura, sensor PTC100 de alta precisión, </w:t>
            </w:r>
            <w:r w:rsidRPr="00581335">
              <w:rPr>
                <w:rFonts w:asciiTheme="majorHAnsi" w:eastAsia="Times New Roman" w:hAnsiTheme="majorHAnsi" w:cstheme="majorHAnsi"/>
                <w:color w:val="000000"/>
                <w:sz w:val="16"/>
                <w:szCs w:val="16"/>
                <w:lang w:eastAsia="es-PY"/>
              </w:rPr>
              <w:lastRenderedPageBreak/>
              <w:t>descongelamiento manual, puerto de acceso de 25 mm, interfaz USB, acceso para alarma remota y comunicación RS485. El interior está fabricado en acero inoxidable SUS304 con aislamiento de poliuretano de alta densidad, e incluye dos estantes internos y capacidad aproximada para 2.400 muestras de 2 mL. Incorpora ruedas para desplazamiento, utiliza refrigerante mixto ecológico y opera con bajo nivel de ruido, siendo adecuado para laboratorios de microbiología, biología molecular, biotecnología y bancos de muestras biológicas. El proveedor deberá realizar la entrega, instalación, puesta en marcha y verificación del correcto funcionamiento del equipo en el laboratorio designado, incluyendo la capacitación básica del personal usuario. Asimismo, deberá garantizar la disponibilidad de servicio técnico especializado, soporte postventa, provisión de repuestos originales y consumibles durante un período mínimo de cinco (2) años posteriores a la instalación. El equipo deberá contar con una garantía mínima de dos (2) años contra defectos de fabricación y funcionamiento, incluyendo mano de obra, asistencia técnica y reemplazo de componentes defectuosos sin costo adicional para la institución durante el período de garantía. El equipo será considerado recibido únicamente una vez instalado, calibrado y funcionando correctamente en las condiciones operativas especificadas por el fabricante.</w:t>
            </w:r>
          </w:p>
        </w:tc>
        <w:tc>
          <w:tcPr>
            <w:tcW w:w="0" w:type="auto"/>
            <w:tcBorders>
              <w:top w:val="nil"/>
              <w:left w:val="nil"/>
              <w:bottom w:val="single" w:sz="4" w:space="0" w:color="auto"/>
              <w:right w:val="single" w:sz="4" w:space="0" w:color="auto"/>
            </w:tcBorders>
            <w:shd w:val="clear" w:color="auto" w:fill="auto"/>
            <w:noWrap/>
            <w:hideMark/>
          </w:tcPr>
          <w:p w14:paraId="4D1647E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w:t>
            </w:r>
          </w:p>
        </w:tc>
        <w:tc>
          <w:tcPr>
            <w:tcW w:w="0" w:type="auto"/>
            <w:tcBorders>
              <w:top w:val="nil"/>
              <w:left w:val="nil"/>
              <w:bottom w:val="single" w:sz="4" w:space="0" w:color="auto"/>
              <w:right w:val="single" w:sz="4" w:space="0" w:color="auto"/>
            </w:tcBorders>
            <w:shd w:val="clear" w:color="auto" w:fill="auto"/>
            <w:noWrap/>
            <w:hideMark/>
          </w:tcPr>
          <w:p w14:paraId="6AD0EE3C"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6C507007"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64E69CAD"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43.810.000 </w:t>
            </w:r>
          </w:p>
        </w:tc>
        <w:tc>
          <w:tcPr>
            <w:tcW w:w="0" w:type="auto"/>
            <w:tcBorders>
              <w:top w:val="nil"/>
              <w:left w:val="nil"/>
              <w:bottom w:val="single" w:sz="4" w:space="0" w:color="auto"/>
              <w:right w:val="single" w:sz="4" w:space="0" w:color="auto"/>
            </w:tcBorders>
            <w:shd w:val="clear" w:color="auto" w:fill="auto"/>
            <w:noWrap/>
            <w:hideMark/>
          </w:tcPr>
          <w:p w14:paraId="7E15747B"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43.810.000 </w:t>
            </w:r>
          </w:p>
        </w:tc>
      </w:tr>
      <w:tr w:rsidR="00581335" w:rsidRPr="00581335" w14:paraId="07F8C50C" w14:textId="77777777" w:rsidTr="00581335">
        <w:trPr>
          <w:trHeight w:val="7752"/>
        </w:trPr>
        <w:tc>
          <w:tcPr>
            <w:tcW w:w="410" w:type="dxa"/>
            <w:tcBorders>
              <w:top w:val="nil"/>
              <w:left w:val="single" w:sz="4" w:space="0" w:color="auto"/>
              <w:bottom w:val="single" w:sz="4" w:space="0" w:color="auto"/>
              <w:right w:val="single" w:sz="4" w:space="0" w:color="auto"/>
            </w:tcBorders>
            <w:shd w:val="clear" w:color="auto" w:fill="auto"/>
            <w:noWrap/>
            <w:hideMark/>
          </w:tcPr>
          <w:p w14:paraId="02417697"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182</w:t>
            </w:r>
          </w:p>
        </w:tc>
        <w:tc>
          <w:tcPr>
            <w:tcW w:w="2325" w:type="dxa"/>
            <w:tcBorders>
              <w:top w:val="nil"/>
              <w:left w:val="nil"/>
              <w:bottom w:val="single" w:sz="4" w:space="0" w:color="auto"/>
              <w:right w:val="single" w:sz="4" w:space="0" w:color="auto"/>
            </w:tcBorders>
            <w:shd w:val="clear" w:color="auto" w:fill="auto"/>
            <w:noWrap/>
            <w:hideMark/>
          </w:tcPr>
          <w:p w14:paraId="246F3DA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Horno de mufla de sobremesa</w:t>
            </w:r>
          </w:p>
        </w:tc>
        <w:tc>
          <w:tcPr>
            <w:tcW w:w="0" w:type="auto"/>
            <w:tcBorders>
              <w:top w:val="nil"/>
              <w:left w:val="nil"/>
              <w:bottom w:val="single" w:sz="4" w:space="0" w:color="auto"/>
              <w:right w:val="single" w:sz="4" w:space="0" w:color="auto"/>
            </w:tcBorders>
            <w:shd w:val="clear" w:color="auto" w:fill="auto"/>
            <w:hideMark/>
          </w:tcPr>
          <w:p w14:paraId="5A9CC50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Horno de mufla de sobremesa diseñado para procesos de calcinación, incineración, determinación de cenizas, tratamientos térmicos, análisis gravimétricos y otras aplicaciones de laboratorio que requieren altas temperaturas y excelente estabilidad térmica. Cuenta con una cámara de calentamiento de aproximadamente 2,1 litros de capacidad, construida con materiales refractarios de alta eficiencia y aislamiento mediante fibra cerámica, permitiendo una distribución homogénea del calor y un uso eficiente de la energía. Posee un rango de temperatura de operación comprendido entre 100 °C y 1100 °C, controlado mediante sistema digital de programación con ajuste de temperatura por punto de consigna (setpoint), proporcionando una estabilidad térmica aproximada de ±0,5 °C a 1000 °C. Incorpora elementos calefactores ubicados en la parte superior y laterales de la cámara, garantizando un calentamiento rápido y una excelente uniformidad de temperatura en toda la zona útil. El equipo dispone de puerta abatible frontal que facilita la carga y descarga de muestras, pudiendo utilizarse como superficie de apoyo durante las operaciones. Incluye sistemas de seguridad que contemplan interrupción automática del calentamiento al abrir la puerta, protección frente a fallas del termopar y mecanismos de seguridad para la protección del operador y del equipo. Adecuado para el procesamiento de muestras orgánicas e inorgánicas en laboratorios de química, </w:t>
            </w:r>
            <w:r w:rsidRPr="00581335">
              <w:rPr>
                <w:rFonts w:asciiTheme="majorHAnsi" w:eastAsia="Times New Roman" w:hAnsiTheme="majorHAnsi" w:cstheme="majorHAnsi"/>
                <w:color w:val="000000"/>
                <w:sz w:val="16"/>
                <w:szCs w:val="16"/>
                <w:lang w:eastAsia="es-PY"/>
              </w:rPr>
              <w:lastRenderedPageBreak/>
              <w:t>microbiología, biotecnología, ciencia de materiales, control de calidad, análisis ambiental, investigación académica e industrial. Incluye doce (12) crisoles de porcelana aptos para altas temperaturas y compatibles con las dimensiones internas del equipo, listos para su utilización en procedimientos analíticos y de preparación de muestras.l proveedor deberá realizar la entrega, instalación, puesta en marcha y verificación del correcto funcionamiento del equipo en el laboratorio designado, incluyendo la capacitación básica del personal usuario. Asimismo, deberá garantizar la disponibilidad de servicio técnico especializado, soporte postventa, provisión de repuestos originales y consumibles durante un período mínimo de cinco (2) años posteriores a la instalación. El equipo deberá contar con una garantía mínima de dos (2) años contra defectos de fabricación y funcionamiento, incluyendo mano de obra, asistencia técnica y reemplazo de componentes defectuosos sin costo adicional para la institución durante el período de garantía. El equipo será considerado recibido únicamente una vez instalado, calibrado y funcionando correctamente en las condiciones operativas especificadas por el fabricante.</w:t>
            </w:r>
          </w:p>
        </w:tc>
        <w:tc>
          <w:tcPr>
            <w:tcW w:w="0" w:type="auto"/>
            <w:tcBorders>
              <w:top w:val="nil"/>
              <w:left w:val="nil"/>
              <w:bottom w:val="single" w:sz="4" w:space="0" w:color="auto"/>
              <w:right w:val="single" w:sz="4" w:space="0" w:color="auto"/>
            </w:tcBorders>
            <w:shd w:val="clear" w:color="auto" w:fill="auto"/>
            <w:noWrap/>
            <w:hideMark/>
          </w:tcPr>
          <w:p w14:paraId="4B3F5F1B"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w:t>
            </w:r>
          </w:p>
        </w:tc>
        <w:tc>
          <w:tcPr>
            <w:tcW w:w="0" w:type="auto"/>
            <w:tcBorders>
              <w:top w:val="nil"/>
              <w:left w:val="nil"/>
              <w:bottom w:val="single" w:sz="4" w:space="0" w:color="auto"/>
              <w:right w:val="single" w:sz="4" w:space="0" w:color="auto"/>
            </w:tcBorders>
            <w:shd w:val="clear" w:color="auto" w:fill="auto"/>
            <w:noWrap/>
            <w:hideMark/>
          </w:tcPr>
          <w:p w14:paraId="5930662C"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30CC9E3F"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34DF9ED2"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34.500.000 </w:t>
            </w:r>
          </w:p>
        </w:tc>
        <w:tc>
          <w:tcPr>
            <w:tcW w:w="0" w:type="auto"/>
            <w:tcBorders>
              <w:top w:val="nil"/>
              <w:left w:val="nil"/>
              <w:bottom w:val="single" w:sz="4" w:space="0" w:color="auto"/>
              <w:right w:val="single" w:sz="4" w:space="0" w:color="auto"/>
            </w:tcBorders>
            <w:shd w:val="clear" w:color="auto" w:fill="auto"/>
            <w:noWrap/>
            <w:hideMark/>
          </w:tcPr>
          <w:p w14:paraId="01DCA02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34.500.000 </w:t>
            </w:r>
          </w:p>
        </w:tc>
      </w:tr>
      <w:tr w:rsidR="00581335" w:rsidRPr="00581335" w14:paraId="6D188642" w14:textId="77777777" w:rsidTr="00581335">
        <w:trPr>
          <w:trHeight w:val="5916"/>
        </w:trPr>
        <w:tc>
          <w:tcPr>
            <w:tcW w:w="410" w:type="dxa"/>
            <w:tcBorders>
              <w:top w:val="nil"/>
              <w:left w:val="single" w:sz="4" w:space="0" w:color="auto"/>
              <w:bottom w:val="single" w:sz="4" w:space="0" w:color="auto"/>
              <w:right w:val="single" w:sz="4" w:space="0" w:color="auto"/>
            </w:tcBorders>
            <w:shd w:val="clear" w:color="auto" w:fill="auto"/>
            <w:noWrap/>
            <w:hideMark/>
          </w:tcPr>
          <w:p w14:paraId="6DAC1EC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183</w:t>
            </w:r>
          </w:p>
        </w:tc>
        <w:tc>
          <w:tcPr>
            <w:tcW w:w="2325" w:type="dxa"/>
            <w:tcBorders>
              <w:top w:val="nil"/>
              <w:left w:val="nil"/>
              <w:bottom w:val="single" w:sz="4" w:space="0" w:color="auto"/>
              <w:right w:val="single" w:sz="4" w:space="0" w:color="auto"/>
            </w:tcBorders>
            <w:shd w:val="clear" w:color="auto" w:fill="auto"/>
            <w:noWrap/>
            <w:hideMark/>
          </w:tcPr>
          <w:p w14:paraId="7F25725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Digestor microondas</w:t>
            </w:r>
          </w:p>
        </w:tc>
        <w:tc>
          <w:tcPr>
            <w:tcW w:w="0" w:type="auto"/>
            <w:tcBorders>
              <w:top w:val="nil"/>
              <w:left w:val="nil"/>
              <w:bottom w:val="single" w:sz="4" w:space="0" w:color="auto"/>
              <w:right w:val="single" w:sz="4" w:space="0" w:color="auto"/>
            </w:tcBorders>
            <w:shd w:val="clear" w:color="auto" w:fill="auto"/>
            <w:hideMark/>
          </w:tcPr>
          <w:p w14:paraId="5AA0CEEB"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Sistema de digestión por microondas de alta capacidad para preparación rápida y segura de muestras destinadas a análisis químicos y elementales. Permite procesar hasta 40 muestras simultáneamente en vasos de digestión de 70 mL, optimizando el rendimiento analítico del laboratorio. Opera con potencia de microondas de 1.800 W y frecuencia de 2.450 MHz, con control automático continuo de potencia para asegurar digestiones uniformes y reproducibles. Alcanza temperaturas de hasta 300 °C y presiones de hasta 100 bar, monitoreadas mediante sensor infrarrojo y control por fibra óptica de alta precisión. Incorpora pantalla táctil LCD a color para programación y almacenamiento de múltiples métodos, incluyendo rampas de temperatura personalizables. Cuenta con cavidad de acero inoxidable multicapa resistente a la corrosión, sistema de enfriamiento por ventilación forzada y avanzados mecanismos de seguridad contra sobrepresión, sobretemperatura y posibles fallas de los vasos de digestión. Ideal para la preparación de muestras de alimentos, suelos, tejidos biológicos, aguas y materiales ambientales para análisis por ICP-OES, ICP-MS, AAS y otras técnicas instrumentales. El proveedor deberá realizar la entrega, instalación, puesta en marcha y verificación del correcto funcionamiento del equipo en el laboratorio designado, incluyendo la capacitación básica del personal usuario. Asimismo, deberá garantizar la disponibilidad de servicio técnico especializado, soporte </w:t>
            </w:r>
            <w:r w:rsidRPr="00581335">
              <w:rPr>
                <w:rFonts w:asciiTheme="majorHAnsi" w:eastAsia="Times New Roman" w:hAnsiTheme="majorHAnsi" w:cstheme="majorHAnsi"/>
                <w:color w:val="000000"/>
                <w:sz w:val="16"/>
                <w:szCs w:val="16"/>
                <w:lang w:eastAsia="es-PY"/>
              </w:rPr>
              <w:lastRenderedPageBreak/>
              <w:t>postventa, provisión de repuestos originales y consumibles durante un período mínimo de cinco (5) años posteriores a la instalación. El equipo deberá contar con una garantía mínima de dos (2) años contra defectos de fabricación y funcionamiento, incluyendo mano de obra, asistencia técnica y reemplazo de componentes defectuosos sin costo adicional para la institución durante el período de garantía. El equipo será considerado recibido únicamente una vez instalado, calibrado y funcionando correctamente en las condiciones operativas especificadas por el fabricante.</w:t>
            </w:r>
          </w:p>
        </w:tc>
        <w:tc>
          <w:tcPr>
            <w:tcW w:w="0" w:type="auto"/>
            <w:tcBorders>
              <w:top w:val="nil"/>
              <w:left w:val="nil"/>
              <w:bottom w:val="single" w:sz="4" w:space="0" w:color="auto"/>
              <w:right w:val="single" w:sz="4" w:space="0" w:color="auto"/>
            </w:tcBorders>
            <w:shd w:val="clear" w:color="auto" w:fill="auto"/>
            <w:noWrap/>
            <w:hideMark/>
          </w:tcPr>
          <w:p w14:paraId="662F00AF"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w:t>
            </w:r>
          </w:p>
        </w:tc>
        <w:tc>
          <w:tcPr>
            <w:tcW w:w="0" w:type="auto"/>
            <w:tcBorders>
              <w:top w:val="nil"/>
              <w:left w:val="nil"/>
              <w:bottom w:val="single" w:sz="4" w:space="0" w:color="auto"/>
              <w:right w:val="single" w:sz="4" w:space="0" w:color="auto"/>
            </w:tcBorders>
            <w:shd w:val="clear" w:color="auto" w:fill="auto"/>
            <w:noWrap/>
            <w:hideMark/>
          </w:tcPr>
          <w:p w14:paraId="343A2852"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3629971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7496749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178.500.000 </w:t>
            </w:r>
          </w:p>
        </w:tc>
        <w:tc>
          <w:tcPr>
            <w:tcW w:w="0" w:type="auto"/>
            <w:tcBorders>
              <w:top w:val="nil"/>
              <w:left w:val="nil"/>
              <w:bottom w:val="single" w:sz="4" w:space="0" w:color="auto"/>
              <w:right w:val="single" w:sz="4" w:space="0" w:color="auto"/>
            </w:tcBorders>
            <w:shd w:val="clear" w:color="auto" w:fill="auto"/>
            <w:noWrap/>
            <w:hideMark/>
          </w:tcPr>
          <w:p w14:paraId="4B03D53E"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178.500.000 </w:t>
            </w:r>
          </w:p>
        </w:tc>
      </w:tr>
      <w:tr w:rsidR="00581335" w:rsidRPr="00581335" w14:paraId="3C785A61" w14:textId="77777777" w:rsidTr="00581335">
        <w:trPr>
          <w:trHeight w:val="5304"/>
        </w:trPr>
        <w:tc>
          <w:tcPr>
            <w:tcW w:w="410" w:type="dxa"/>
            <w:tcBorders>
              <w:top w:val="nil"/>
              <w:left w:val="single" w:sz="4" w:space="0" w:color="auto"/>
              <w:bottom w:val="single" w:sz="4" w:space="0" w:color="auto"/>
              <w:right w:val="single" w:sz="4" w:space="0" w:color="auto"/>
            </w:tcBorders>
            <w:shd w:val="clear" w:color="auto" w:fill="auto"/>
            <w:noWrap/>
            <w:hideMark/>
          </w:tcPr>
          <w:p w14:paraId="60E390E7"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184</w:t>
            </w:r>
          </w:p>
        </w:tc>
        <w:tc>
          <w:tcPr>
            <w:tcW w:w="2325" w:type="dxa"/>
            <w:tcBorders>
              <w:top w:val="nil"/>
              <w:left w:val="nil"/>
              <w:bottom w:val="single" w:sz="4" w:space="0" w:color="auto"/>
              <w:right w:val="single" w:sz="4" w:space="0" w:color="auto"/>
            </w:tcBorders>
            <w:shd w:val="clear" w:color="auto" w:fill="auto"/>
            <w:noWrap/>
            <w:hideMark/>
          </w:tcPr>
          <w:p w14:paraId="153AE2BC"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Balanza analitica</w:t>
            </w:r>
          </w:p>
        </w:tc>
        <w:tc>
          <w:tcPr>
            <w:tcW w:w="0" w:type="auto"/>
            <w:tcBorders>
              <w:top w:val="nil"/>
              <w:left w:val="nil"/>
              <w:bottom w:val="single" w:sz="4" w:space="0" w:color="auto"/>
              <w:right w:val="single" w:sz="4" w:space="0" w:color="auto"/>
            </w:tcBorders>
            <w:shd w:val="clear" w:color="auto" w:fill="auto"/>
            <w:hideMark/>
          </w:tcPr>
          <w:p w14:paraId="0F19009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Balanza analítica de alta precisión, diseñada para la medición exacta de masas con resolución de hasta 0,1 mg (0,0001 g), ideal para aplicaciones en laboratorios de química, biología, farmacia y control de calidad. Fabricada con carcasa robusta y cámara de pesaje cerrada para minimizar el efecto de corrientes de aire, cuenta con plataforma de acero inoxidable, pantalla digital de alta visibilidad y funciones avanzadas como tara automática, calibración interna o externa, y diversas unidades de medida. Incluye servicio de instalación y puesta a punto en el lugar de uso, asegurando el correcto funcionamiento y ajuste inicial del equipo. Se proporciona capacitación para el uso y mantenimiento preventivo dirigida al personal designado, garantizando un manejo seguro y eficiente. La garantía es de 2 años a partir de la puesta en operación, cubriendo defectos de fabricación y funcionamiento bajo condiciones normales </w:t>
            </w:r>
            <w:r w:rsidRPr="00581335">
              <w:rPr>
                <w:rFonts w:asciiTheme="majorHAnsi" w:eastAsia="Times New Roman" w:hAnsiTheme="majorHAnsi" w:cstheme="majorHAnsi"/>
                <w:color w:val="000000"/>
                <w:sz w:val="16"/>
                <w:szCs w:val="16"/>
                <w:lang w:eastAsia="es-PY"/>
              </w:rPr>
              <w:lastRenderedPageBreak/>
              <w:t>de uso. Su diseño ergonómico, alta exactitud y soporte técnico posventa. El proveedor deberá realizar la entrega, instalación, puesta en marcha y verificación del correcto funcionamiento del equipo en el laboratorio designado, incluyendo la capacitación básica del personal usuario. Asimismo, deberá garantizar la disponibilidad de servicio técnico especializado, soporte postventa, provisión de repuestos originales y consumibles durante un período mínimo de cinco (5) años posteriores a la instalación. El equipo deberá contar con una garantía mínima de dos (2) años contra defectos de fabricación y funcionamiento, incluyendo mano de obra, asistencia técnica y reemplazo de componentes defectuosos sin costo adicional para la institución durante el período de garantía. El equipo será considerado recibido únicamente una vez instalado, calibrado y funcionando correctamente en las condiciones operativas especificadas por el fabricante.</w:t>
            </w:r>
          </w:p>
        </w:tc>
        <w:tc>
          <w:tcPr>
            <w:tcW w:w="0" w:type="auto"/>
            <w:tcBorders>
              <w:top w:val="nil"/>
              <w:left w:val="nil"/>
              <w:bottom w:val="single" w:sz="4" w:space="0" w:color="auto"/>
              <w:right w:val="single" w:sz="4" w:space="0" w:color="auto"/>
            </w:tcBorders>
            <w:shd w:val="clear" w:color="auto" w:fill="auto"/>
            <w:noWrap/>
            <w:hideMark/>
          </w:tcPr>
          <w:p w14:paraId="4D3886D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2</w:t>
            </w:r>
          </w:p>
        </w:tc>
        <w:tc>
          <w:tcPr>
            <w:tcW w:w="0" w:type="auto"/>
            <w:tcBorders>
              <w:top w:val="nil"/>
              <w:left w:val="nil"/>
              <w:bottom w:val="single" w:sz="4" w:space="0" w:color="auto"/>
              <w:right w:val="single" w:sz="4" w:space="0" w:color="auto"/>
            </w:tcBorders>
            <w:shd w:val="clear" w:color="auto" w:fill="auto"/>
            <w:noWrap/>
            <w:hideMark/>
          </w:tcPr>
          <w:p w14:paraId="0C997B63"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771F4EEB"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072371EE"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5.642.500 </w:t>
            </w:r>
          </w:p>
        </w:tc>
        <w:tc>
          <w:tcPr>
            <w:tcW w:w="0" w:type="auto"/>
            <w:tcBorders>
              <w:top w:val="nil"/>
              <w:left w:val="nil"/>
              <w:bottom w:val="single" w:sz="4" w:space="0" w:color="auto"/>
              <w:right w:val="single" w:sz="4" w:space="0" w:color="auto"/>
            </w:tcBorders>
            <w:shd w:val="clear" w:color="auto" w:fill="auto"/>
            <w:noWrap/>
            <w:hideMark/>
          </w:tcPr>
          <w:p w14:paraId="75D661F1"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5.642.500 </w:t>
            </w:r>
          </w:p>
        </w:tc>
      </w:tr>
      <w:tr w:rsidR="00581335" w:rsidRPr="00581335" w14:paraId="4518171C" w14:textId="77777777" w:rsidTr="00581335">
        <w:trPr>
          <w:trHeight w:val="1836"/>
        </w:trPr>
        <w:tc>
          <w:tcPr>
            <w:tcW w:w="410" w:type="dxa"/>
            <w:tcBorders>
              <w:top w:val="nil"/>
              <w:left w:val="single" w:sz="4" w:space="0" w:color="auto"/>
              <w:bottom w:val="single" w:sz="4" w:space="0" w:color="auto"/>
              <w:right w:val="single" w:sz="4" w:space="0" w:color="auto"/>
            </w:tcBorders>
            <w:shd w:val="clear" w:color="auto" w:fill="auto"/>
            <w:noWrap/>
            <w:hideMark/>
          </w:tcPr>
          <w:p w14:paraId="70301094"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185</w:t>
            </w:r>
          </w:p>
        </w:tc>
        <w:tc>
          <w:tcPr>
            <w:tcW w:w="2325" w:type="dxa"/>
            <w:tcBorders>
              <w:top w:val="nil"/>
              <w:left w:val="nil"/>
              <w:bottom w:val="single" w:sz="4" w:space="0" w:color="auto"/>
              <w:right w:val="single" w:sz="4" w:space="0" w:color="auto"/>
            </w:tcBorders>
            <w:shd w:val="clear" w:color="auto" w:fill="auto"/>
            <w:noWrap/>
            <w:hideMark/>
          </w:tcPr>
          <w:p w14:paraId="7EF8F9B2"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Balanza granataria</w:t>
            </w:r>
          </w:p>
        </w:tc>
        <w:tc>
          <w:tcPr>
            <w:tcW w:w="0" w:type="auto"/>
            <w:tcBorders>
              <w:top w:val="nil"/>
              <w:left w:val="nil"/>
              <w:bottom w:val="single" w:sz="4" w:space="0" w:color="auto"/>
              <w:right w:val="single" w:sz="4" w:space="0" w:color="auto"/>
            </w:tcBorders>
            <w:shd w:val="clear" w:color="auto" w:fill="auto"/>
            <w:hideMark/>
          </w:tcPr>
          <w:p w14:paraId="30900C4A"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Balanza granataria digital con capacidad máxima de 5.200 g y resolución de 1 g, adecuada para tareas de pesaje rutinario en laboratorios, áreas de preparación de muestras, docencia e investigación. Cuenta con plato de pesaje de 132 mm × 125 mm, permitiendo el manejo de recipientes y materiales de diferentes tamaños. Diseñada para ofrecer mediciones rápidas y confiables en procedimientos de control, formulación, preparación de medios de cultivo, reactivos y materiales de laboratorio. Su estructura compacta </w:t>
            </w:r>
            <w:r w:rsidRPr="00581335">
              <w:rPr>
                <w:rFonts w:asciiTheme="majorHAnsi" w:eastAsia="Times New Roman" w:hAnsiTheme="majorHAnsi" w:cstheme="majorHAnsi"/>
                <w:color w:val="000000"/>
                <w:sz w:val="16"/>
                <w:szCs w:val="16"/>
                <w:lang w:eastAsia="es-PY"/>
              </w:rPr>
              <w:lastRenderedPageBreak/>
              <w:t>facilita la limpieza, el transporte y la utilización en espacios reducidos.</w:t>
            </w:r>
          </w:p>
        </w:tc>
        <w:tc>
          <w:tcPr>
            <w:tcW w:w="0" w:type="auto"/>
            <w:tcBorders>
              <w:top w:val="nil"/>
              <w:left w:val="nil"/>
              <w:bottom w:val="single" w:sz="4" w:space="0" w:color="auto"/>
              <w:right w:val="single" w:sz="4" w:space="0" w:color="auto"/>
            </w:tcBorders>
            <w:shd w:val="clear" w:color="auto" w:fill="auto"/>
            <w:noWrap/>
            <w:hideMark/>
          </w:tcPr>
          <w:p w14:paraId="213438A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w:t>
            </w:r>
          </w:p>
        </w:tc>
        <w:tc>
          <w:tcPr>
            <w:tcW w:w="0" w:type="auto"/>
            <w:tcBorders>
              <w:top w:val="nil"/>
              <w:left w:val="nil"/>
              <w:bottom w:val="single" w:sz="4" w:space="0" w:color="auto"/>
              <w:right w:val="single" w:sz="4" w:space="0" w:color="auto"/>
            </w:tcBorders>
            <w:shd w:val="clear" w:color="auto" w:fill="auto"/>
            <w:noWrap/>
            <w:hideMark/>
          </w:tcPr>
          <w:p w14:paraId="6B6DC98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6DD9846D"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4CBA4CF2"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1.810.000 </w:t>
            </w:r>
          </w:p>
        </w:tc>
        <w:tc>
          <w:tcPr>
            <w:tcW w:w="0" w:type="auto"/>
            <w:tcBorders>
              <w:top w:val="nil"/>
              <w:left w:val="nil"/>
              <w:bottom w:val="single" w:sz="4" w:space="0" w:color="auto"/>
              <w:right w:val="single" w:sz="4" w:space="0" w:color="auto"/>
            </w:tcBorders>
            <w:shd w:val="clear" w:color="auto" w:fill="auto"/>
            <w:noWrap/>
            <w:hideMark/>
          </w:tcPr>
          <w:p w14:paraId="2226C9CA"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1.810.000 </w:t>
            </w:r>
          </w:p>
        </w:tc>
      </w:tr>
      <w:tr w:rsidR="00581335" w:rsidRPr="00581335" w14:paraId="275C1550" w14:textId="77777777" w:rsidTr="00581335">
        <w:trPr>
          <w:trHeight w:val="5304"/>
        </w:trPr>
        <w:tc>
          <w:tcPr>
            <w:tcW w:w="410" w:type="dxa"/>
            <w:tcBorders>
              <w:top w:val="nil"/>
              <w:left w:val="single" w:sz="4" w:space="0" w:color="auto"/>
              <w:bottom w:val="single" w:sz="4" w:space="0" w:color="auto"/>
              <w:right w:val="single" w:sz="4" w:space="0" w:color="auto"/>
            </w:tcBorders>
            <w:shd w:val="clear" w:color="auto" w:fill="auto"/>
            <w:noWrap/>
            <w:hideMark/>
          </w:tcPr>
          <w:p w14:paraId="483B6703"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186</w:t>
            </w:r>
          </w:p>
        </w:tc>
        <w:tc>
          <w:tcPr>
            <w:tcW w:w="2325" w:type="dxa"/>
            <w:tcBorders>
              <w:top w:val="nil"/>
              <w:left w:val="nil"/>
              <w:bottom w:val="single" w:sz="4" w:space="0" w:color="auto"/>
              <w:right w:val="single" w:sz="4" w:space="0" w:color="auto"/>
            </w:tcBorders>
            <w:shd w:val="clear" w:color="auto" w:fill="auto"/>
            <w:noWrap/>
            <w:hideMark/>
          </w:tcPr>
          <w:p w14:paraId="29EBAFC3"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Estufa de aire forzado</w:t>
            </w:r>
          </w:p>
        </w:tc>
        <w:tc>
          <w:tcPr>
            <w:tcW w:w="0" w:type="auto"/>
            <w:tcBorders>
              <w:top w:val="nil"/>
              <w:left w:val="nil"/>
              <w:bottom w:val="single" w:sz="4" w:space="0" w:color="auto"/>
              <w:right w:val="single" w:sz="4" w:space="0" w:color="auto"/>
            </w:tcBorders>
            <w:shd w:val="clear" w:color="auto" w:fill="auto"/>
            <w:hideMark/>
          </w:tcPr>
          <w:p w14:paraId="51C2A53B"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Horno de secado de aire forzado con capacidad de 45 litros, diseñado para procesos de secado, incubación, acondicionamiento térmico y calentamiento de materiales en laboratorios de investigación, microbiología, biotecnología y control de calidad. Cuenta con cámara interna de acero inoxidable y bandejas ajustables que facilitan la organización de muestras y recipientes de diferentes tamaños. Opera en un rango de temperatura desde ambiente +10 °C hasta 300 °C, con control mediante microprocesador PID que garantiza una precisión de ±1 °C y uniformidad térmica de ±2 °C. Incorpora sistema de circulación de aire por convección forzada mediante ventilador interno, permitiendo una distribución homogénea de la temperatura en toda la cámara. Dispone además de sistemas de seguridad con protección contra sobrecalentamiento y alarma automática ante fallas de temperatura, proporcionando un funcionamiento seguro y confiable para aplicaciones de laboratorio. El proveedor deberá realizar la entrega, instalación, puesta en marcha y verificación del correcto funcionamiento del equipo en el laboratorio designado, incluyendo la capacitación básica del personal usuario. Asimismo, deberá garantizar la disponibilidad de servicio técnico </w:t>
            </w:r>
            <w:r w:rsidRPr="00581335">
              <w:rPr>
                <w:rFonts w:asciiTheme="majorHAnsi" w:eastAsia="Times New Roman" w:hAnsiTheme="majorHAnsi" w:cstheme="majorHAnsi"/>
                <w:color w:val="000000"/>
                <w:sz w:val="16"/>
                <w:szCs w:val="16"/>
                <w:lang w:eastAsia="es-PY"/>
              </w:rPr>
              <w:lastRenderedPageBreak/>
              <w:t>especializado, soporte postventa, provisión de repuestos originales y consumibles durante un período mínimo de cinco (5) años posteriores a la instalación. El equipo deberá contar con una garantía mínima de dos (2) años contra defectos de fabricación y funcionamiento, incluyendo mano de obra, asistencia técnica y reemplazo de componentes defectuosos sin costo adicional para la institución durante el período de garantía. El equipo será considerado recibido únicamente una vez instalado, calibrado y funcionando correctamente en las condiciones operativas especificadas por el fabricante.</w:t>
            </w:r>
          </w:p>
        </w:tc>
        <w:tc>
          <w:tcPr>
            <w:tcW w:w="0" w:type="auto"/>
            <w:tcBorders>
              <w:top w:val="nil"/>
              <w:left w:val="nil"/>
              <w:bottom w:val="single" w:sz="4" w:space="0" w:color="auto"/>
              <w:right w:val="single" w:sz="4" w:space="0" w:color="auto"/>
            </w:tcBorders>
            <w:shd w:val="clear" w:color="auto" w:fill="auto"/>
            <w:noWrap/>
            <w:hideMark/>
          </w:tcPr>
          <w:p w14:paraId="334996A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2</w:t>
            </w:r>
          </w:p>
        </w:tc>
        <w:tc>
          <w:tcPr>
            <w:tcW w:w="0" w:type="auto"/>
            <w:tcBorders>
              <w:top w:val="nil"/>
              <w:left w:val="nil"/>
              <w:bottom w:val="single" w:sz="4" w:space="0" w:color="auto"/>
              <w:right w:val="single" w:sz="4" w:space="0" w:color="auto"/>
            </w:tcBorders>
            <w:shd w:val="clear" w:color="auto" w:fill="auto"/>
            <w:noWrap/>
            <w:hideMark/>
          </w:tcPr>
          <w:p w14:paraId="29259D2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230A86C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65E1878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3.867.000 </w:t>
            </w:r>
          </w:p>
        </w:tc>
        <w:tc>
          <w:tcPr>
            <w:tcW w:w="0" w:type="auto"/>
            <w:tcBorders>
              <w:top w:val="nil"/>
              <w:left w:val="nil"/>
              <w:bottom w:val="single" w:sz="4" w:space="0" w:color="auto"/>
              <w:right w:val="single" w:sz="4" w:space="0" w:color="auto"/>
            </w:tcBorders>
            <w:shd w:val="clear" w:color="auto" w:fill="auto"/>
            <w:noWrap/>
            <w:hideMark/>
          </w:tcPr>
          <w:p w14:paraId="18198DA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3.867.000 </w:t>
            </w:r>
          </w:p>
        </w:tc>
      </w:tr>
      <w:tr w:rsidR="00581335" w:rsidRPr="00581335" w14:paraId="6170CFFD" w14:textId="77777777" w:rsidTr="00581335">
        <w:trPr>
          <w:trHeight w:val="3468"/>
        </w:trPr>
        <w:tc>
          <w:tcPr>
            <w:tcW w:w="410" w:type="dxa"/>
            <w:tcBorders>
              <w:top w:val="nil"/>
              <w:left w:val="single" w:sz="4" w:space="0" w:color="auto"/>
              <w:bottom w:val="single" w:sz="4" w:space="0" w:color="auto"/>
              <w:right w:val="single" w:sz="4" w:space="0" w:color="auto"/>
            </w:tcBorders>
            <w:shd w:val="clear" w:color="auto" w:fill="auto"/>
            <w:noWrap/>
            <w:hideMark/>
          </w:tcPr>
          <w:p w14:paraId="12AA692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187</w:t>
            </w:r>
          </w:p>
        </w:tc>
        <w:tc>
          <w:tcPr>
            <w:tcW w:w="2325" w:type="dxa"/>
            <w:tcBorders>
              <w:top w:val="nil"/>
              <w:left w:val="nil"/>
              <w:bottom w:val="single" w:sz="4" w:space="0" w:color="auto"/>
              <w:right w:val="single" w:sz="4" w:space="0" w:color="auto"/>
            </w:tcBorders>
            <w:shd w:val="clear" w:color="auto" w:fill="auto"/>
            <w:noWrap/>
            <w:hideMark/>
          </w:tcPr>
          <w:p w14:paraId="2E906412"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Incubadora de laboratorio</w:t>
            </w:r>
          </w:p>
        </w:tc>
        <w:tc>
          <w:tcPr>
            <w:tcW w:w="0" w:type="auto"/>
            <w:tcBorders>
              <w:top w:val="nil"/>
              <w:left w:val="nil"/>
              <w:bottom w:val="single" w:sz="4" w:space="0" w:color="auto"/>
              <w:right w:val="single" w:sz="4" w:space="0" w:color="auto"/>
            </w:tcBorders>
            <w:shd w:val="clear" w:color="auto" w:fill="auto"/>
            <w:hideMark/>
          </w:tcPr>
          <w:p w14:paraId="745BBFC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Incubadora para microbiología de 50 litros de capacidad o similar, con control de temperatura en rango de 5 °C a 50 °C, diseñada para el cultivo, incubación y conservación de muestras biológicas en condiciones controladas. Equipada con sistema de refrigeración por compresor y calefacción regulada, permite trabajar tanto en temperaturas bajas para almacenamiento como en temperaturas óptimas para el crecimiento microbiano. Fabricada con cámara interna de acero inoxidable resistente a la corrosión y aislamiento térmico de alta eficiencia, garantiza estabilidad y uniformidad térmica en todo el espacio de trabajo. Dispone de control electrónico preciso de temperatura, estantes ajustables, puerta con cierre hermético y, según el modelo, ventana de observación para monitorear las muestras sin alterar las condiciones internas. Ideal para cultivos microbianos, </w:t>
            </w:r>
            <w:r w:rsidRPr="00581335">
              <w:rPr>
                <w:rFonts w:asciiTheme="majorHAnsi" w:eastAsia="Times New Roman" w:hAnsiTheme="majorHAnsi" w:cstheme="majorHAnsi"/>
                <w:color w:val="000000"/>
                <w:sz w:val="16"/>
                <w:szCs w:val="16"/>
                <w:lang w:eastAsia="es-PY"/>
              </w:rPr>
              <w:lastRenderedPageBreak/>
              <w:t>almacenamiento de cepas, pruebas de estabilidad y ensayos de crecimiento en microbiología, biología molecular y control de calidad. Incluye instalación y puesta a punto en el lugar de uso, capacitación para el manejo y mantenimiento preventivo, y garantía de 2 años a partir de la puesta en operación.</w:t>
            </w:r>
          </w:p>
        </w:tc>
        <w:tc>
          <w:tcPr>
            <w:tcW w:w="0" w:type="auto"/>
            <w:tcBorders>
              <w:top w:val="nil"/>
              <w:left w:val="nil"/>
              <w:bottom w:val="single" w:sz="4" w:space="0" w:color="auto"/>
              <w:right w:val="single" w:sz="4" w:space="0" w:color="auto"/>
            </w:tcBorders>
            <w:shd w:val="clear" w:color="auto" w:fill="auto"/>
            <w:noWrap/>
            <w:hideMark/>
          </w:tcPr>
          <w:p w14:paraId="7ED9532A"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w:t>
            </w:r>
          </w:p>
        </w:tc>
        <w:tc>
          <w:tcPr>
            <w:tcW w:w="0" w:type="auto"/>
            <w:tcBorders>
              <w:top w:val="nil"/>
              <w:left w:val="nil"/>
              <w:bottom w:val="single" w:sz="4" w:space="0" w:color="auto"/>
              <w:right w:val="single" w:sz="4" w:space="0" w:color="auto"/>
            </w:tcBorders>
            <w:shd w:val="clear" w:color="auto" w:fill="auto"/>
            <w:noWrap/>
            <w:hideMark/>
          </w:tcPr>
          <w:p w14:paraId="725867AB"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448DFD3D"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1638D937"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23.100.000 </w:t>
            </w:r>
          </w:p>
        </w:tc>
        <w:tc>
          <w:tcPr>
            <w:tcW w:w="0" w:type="auto"/>
            <w:tcBorders>
              <w:top w:val="nil"/>
              <w:left w:val="nil"/>
              <w:bottom w:val="single" w:sz="4" w:space="0" w:color="auto"/>
              <w:right w:val="single" w:sz="4" w:space="0" w:color="auto"/>
            </w:tcBorders>
            <w:shd w:val="clear" w:color="auto" w:fill="auto"/>
            <w:noWrap/>
            <w:hideMark/>
          </w:tcPr>
          <w:p w14:paraId="1DF1D47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23.100.000 </w:t>
            </w:r>
          </w:p>
        </w:tc>
      </w:tr>
      <w:tr w:rsidR="00581335" w:rsidRPr="00581335" w14:paraId="3F28C3F9" w14:textId="77777777" w:rsidTr="00581335">
        <w:trPr>
          <w:trHeight w:val="3060"/>
        </w:trPr>
        <w:tc>
          <w:tcPr>
            <w:tcW w:w="410" w:type="dxa"/>
            <w:tcBorders>
              <w:top w:val="nil"/>
              <w:left w:val="single" w:sz="4" w:space="0" w:color="auto"/>
              <w:bottom w:val="single" w:sz="4" w:space="0" w:color="auto"/>
              <w:right w:val="single" w:sz="4" w:space="0" w:color="auto"/>
            </w:tcBorders>
            <w:shd w:val="clear" w:color="auto" w:fill="auto"/>
            <w:noWrap/>
            <w:hideMark/>
          </w:tcPr>
          <w:p w14:paraId="3FE8194B"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188</w:t>
            </w:r>
          </w:p>
        </w:tc>
        <w:tc>
          <w:tcPr>
            <w:tcW w:w="2325" w:type="dxa"/>
            <w:tcBorders>
              <w:top w:val="nil"/>
              <w:left w:val="nil"/>
              <w:bottom w:val="single" w:sz="4" w:space="0" w:color="auto"/>
              <w:right w:val="single" w:sz="4" w:space="0" w:color="auto"/>
            </w:tcBorders>
            <w:shd w:val="clear" w:color="auto" w:fill="auto"/>
            <w:noWrap/>
            <w:hideMark/>
          </w:tcPr>
          <w:p w14:paraId="461F19CD"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Autoclave de laboratorio</w:t>
            </w:r>
          </w:p>
        </w:tc>
        <w:tc>
          <w:tcPr>
            <w:tcW w:w="0" w:type="auto"/>
            <w:tcBorders>
              <w:top w:val="nil"/>
              <w:left w:val="nil"/>
              <w:bottom w:val="single" w:sz="4" w:space="0" w:color="auto"/>
              <w:right w:val="single" w:sz="4" w:space="0" w:color="auto"/>
            </w:tcBorders>
            <w:shd w:val="clear" w:color="auto" w:fill="auto"/>
            <w:hideMark/>
          </w:tcPr>
          <w:p w14:paraId="322DB93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Autoclave de laboratorio, equipo diseñado para la esterilización segura y eficiente de material de vidrio, metal, plástico resistente al calor, medios de cultivo y residuos biológicos mediante vapor de agua a presión. Funciona en un rango de temperatura habitual de 121 °C a 134 °C, alcanzado mediante presión interna controlada, garantizando la inactivación de microorganismos, esporas y virus. Fabricado con cámara interna de acero inoxidable resistente a la corrosión y carcasa aislada térmicamente, cuenta con sistema de control electrónico o analógico para ajustar tiempo, temperatura y presión, además de válvulas y dispositivos de seguridad para prevenir sobrepresión. Disponible en diferentes capacidades 50 L 0 100L, incorpora manómetro, indicadores visuales y/o alarmas de fin de ciclo. Ideal para laboratorios de microbiología, biología molecular, química y control de calidad. Incluye instalación y puesta a punto en el lugar de uso, capacitación para el manejo y mantenimiento preventivo y garantía de 2 años a partir de la puesta en operación</w:t>
            </w:r>
          </w:p>
        </w:tc>
        <w:tc>
          <w:tcPr>
            <w:tcW w:w="0" w:type="auto"/>
            <w:tcBorders>
              <w:top w:val="nil"/>
              <w:left w:val="nil"/>
              <w:bottom w:val="single" w:sz="4" w:space="0" w:color="auto"/>
              <w:right w:val="single" w:sz="4" w:space="0" w:color="auto"/>
            </w:tcBorders>
            <w:shd w:val="clear" w:color="auto" w:fill="auto"/>
            <w:noWrap/>
            <w:hideMark/>
          </w:tcPr>
          <w:p w14:paraId="1F277AD4"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2</w:t>
            </w:r>
          </w:p>
        </w:tc>
        <w:tc>
          <w:tcPr>
            <w:tcW w:w="0" w:type="auto"/>
            <w:tcBorders>
              <w:top w:val="nil"/>
              <w:left w:val="nil"/>
              <w:bottom w:val="single" w:sz="4" w:space="0" w:color="auto"/>
              <w:right w:val="single" w:sz="4" w:space="0" w:color="auto"/>
            </w:tcBorders>
            <w:shd w:val="clear" w:color="auto" w:fill="auto"/>
            <w:noWrap/>
            <w:hideMark/>
          </w:tcPr>
          <w:p w14:paraId="489FD68E"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36F6E0A0"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38142833"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23.469.000 </w:t>
            </w:r>
          </w:p>
        </w:tc>
        <w:tc>
          <w:tcPr>
            <w:tcW w:w="0" w:type="auto"/>
            <w:tcBorders>
              <w:top w:val="nil"/>
              <w:left w:val="nil"/>
              <w:bottom w:val="single" w:sz="4" w:space="0" w:color="auto"/>
              <w:right w:val="single" w:sz="4" w:space="0" w:color="auto"/>
            </w:tcBorders>
            <w:shd w:val="clear" w:color="auto" w:fill="auto"/>
            <w:noWrap/>
            <w:hideMark/>
          </w:tcPr>
          <w:p w14:paraId="785710B4"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23.469.000 </w:t>
            </w:r>
          </w:p>
        </w:tc>
      </w:tr>
      <w:tr w:rsidR="00581335" w:rsidRPr="00581335" w14:paraId="6EDE1C3C" w14:textId="77777777" w:rsidTr="00581335">
        <w:trPr>
          <w:trHeight w:val="4080"/>
        </w:trPr>
        <w:tc>
          <w:tcPr>
            <w:tcW w:w="410" w:type="dxa"/>
            <w:tcBorders>
              <w:top w:val="nil"/>
              <w:left w:val="single" w:sz="4" w:space="0" w:color="auto"/>
              <w:bottom w:val="single" w:sz="4" w:space="0" w:color="auto"/>
              <w:right w:val="single" w:sz="4" w:space="0" w:color="auto"/>
            </w:tcBorders>
            <w:shd w:val="clear" w:color="auto" w:fill="auto"/>
            <w:noWrap/>
            <w:hideMark/>
          </w:tcPr>
          <w:p w14:paraId="19F3079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189</w:t>
            </w:r>
          </w:p>
        </w:tc>
        <w:tc>
          <w:tcPr>
            <w:tcW w:w="2325" w:type="dxa"/>
            <w:tcBorders>
              <w:top w:val="nil"/>
              <w:left w:val="nil"/>
              <w:bottom w:val="single" w:sz="4" w:space="0" w:color="auto"/>
              <w:right w:val="single" w:sz="4" w:space="0" w:color="auto"/>
            </w:tcBorders>
            <w:shd w:val="clear" w:color="auto" w:fill="auto"/>
            <w:hideMark/>
          </w:tcPr>
          <w:p w14:paraId="1B77076C"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Lavadora de 6kg carga frontal</w:t>
            </w:r>
          </w:p>
        </w:tc>
        <w:tc>
          <w:tcPr>
            <w:tcW w:w="0" w:type="auto"/>
            <w:tcBorders>
              <w:top w:val="nil"/>
              <w:left w:val="nil"/>
              <w:bottom w:val="single" w:sz="4" w:space="0" w:color="auto"/>
              <w:right w:val="single" w:sz="4" w:space="0" w:color="auto"/>
            </w:tcBorders>
            <w:shd w:val="clear" w:color="auto" w:fill="auto"/>
            <w:hideMark/>
          </w:tcPr>
          <w:p w14:paraId="40646C5D"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Lavadora automática de carga frontal con capacidad de 6 kg, adecuada para el lavado de prendas, textiles y materiales reutilizables de uso cotidiano o institucional. Diseñada para optimizar el consumo de agua y energía, cuenta con sistema de lavado de carga frontal que favorece una limpieza eficiente y un menor desgaste de los tejidos. Su estructura compacta permite la instalación en espacios reducidos, siendo apropiada para áreas de apoyo en laboratorios, oficinas, residencias estudiantiles o dependencias institucionales. El proveedor deberá realizar la entrega, instalación, puesta en marcha y verificación del correcto funcionamiento del equipo en el laboratorio designado, incluyendo la capacitación básica del personal usuario. Asimismo, deberá garantizar la disponibilidad de servicio técnico especializado, soporte postventa, provisión de repuestos originales y consumibles durante un período mínimo de cinco (2) años posteriores a la instalación. El equipo deberá contar con una garantía mínima de dos (2) años contra defectos de fabricación y funcionamiento, incluyendo mano de obra, asistencia técnica y reemplazo de componentes defectuosos sin costo adicional para la institución durante el período de garantía. El equipo será considerado recibido únicamente una vez instalado, calibrado y funcionando correctamente en las condiciones operativas especificadas por el fabricante.</w:t>
            </w:r>
          </w:p>
        </w:tc>
        <w:tc>
          <w:tcPr>
            <w:tcW w:w="0" w:type="auto"/>
            <w:tcBorders>
              <w:top w:val="nil"/>
              <w:left w:val="nil"/>
              <w:bottom w:val="single" w:sz="4" w:space="0" w:color="auto"/>
              <w:right w:val="single" w:sz="4" w:space="0" w:color="auto"/>
            </w:tcBorders>
            <w:shd w:val="clear" w:color="auto" w:fill="auto"/>
            <w:noWrap/>
            <w:hideMark/>
          </w:tcPr>
          <w:p w14:paraId="679DF31D"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1</w:t>
            </w:r>
          </w:p>
        </w:tc>
        <w:tc>
          <w:tcPr>
            <w:tcW w:w="0" w:type="auto"/>
            <w:tcBorders>
              <w:top w:val="nil"/>
              <w:left w:val="nil"/>
              <w:bottom w:val="single" w:sz="4" w:space="0" w:color="auto"/>
              <w:right w:val="single" w:sz="4" w:space="0" w:color="auto"/>
            </w:tcBorders>
            <w:shd w:val="clear" w:color="auto" w:fill="auto"/>
            <w:noWrap/>
            <w:hideMark/>
          </w:tcPr>
          <w:p w14:paraId="31849CBE"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477DEC81"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44E6F5A4"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3.517.344 </w:t>
            </w:r>
          </w:p>
        </w:tc>
        <w:tc>
          <w:tcPr>
            <w:tcW w:w="0" w:type="auto"/>
            <w:tcBorders>
              <w:top w:val="nil"/>
              <w:left w:val="nil"/>
              <w:bottom w:val="single" w:sz="4" w:space="0" w:color="auto"/>
              <w:right w:val="single" w:sz="4" w:space="0" w:color="auto"/>
            </w:tcBorders>
            <w:shd w:val="clear" w:color="auto" w:fill="auto"/>
            <w:noWrap/>
            <w:hideMark/>
          </w:tcPr>
          <w:p w14:paraId="6B6A7A2E"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3.517.344 </w:t>
            </w:r>
          </w:p>
        </w:tc>
      </w:tr>
      <w:tr w:rsidR="00581335" w:rsidRPr="00581335" w14:paraId="6C8C4E68" w14:textId="77777777" w:rsidTr="00581335">
        <w:trPr>
          <w:trHeight w:val="4284"/>
        </w:trPr>
        <w:tc>
          <w:tcPr>
            <w:tcW w:w="410" w:type="dxa"/>
            <w:tcBorders>
              <w:top w:val="nil"/>
              <w:left w:val="single" w:sz="4" w:space="0" w:color="auto"/>
              <w:bottom w:val="single" w:sz="4" w:space="0" w:color="auto"/>
              <w:right w:val="single" w:sz="4" w:space="0" w:color="auto"/>
            </w:tcBorders>
            <w:shd w:val="clear" w:color="auto" w:fill="auto"/>
            <w:noWrap/>
            <w:hideMark/>
          </w:tcPr>
          <w:p w14:paraId="59EE2ECB"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190</w:t>
            </w:r>
          </w:p>
        </w:tc>
        <w:tc>
          <w:tcPr>
            <w:tcW w:w="2325" w:type="dxa"/>
            <w:tcBorders>
              <w:top w:val="nil"/>
              <w:left w:val="nil"/>
              <w:bottom w:val="single" w:sz="4" w:space="0" w:color="auto"/>
              <w:right w:val="single" w:sz="4" w:space="0" w:color="auto"/>
            </w:tcBorders>
            <w:shd w:val="clear" w:color="auto" w:fill="auto"/>
            <w:hideMark/>
          </w:tcPr>
          <w:p w14:paraId="21860B7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Secadora de 9 kg</w:t>
            </w:r>
          </w:p>
        </w:tc>
        <w:tc>
          <w:tcPr>
            <w:tcW w:w="0" w:type="auto"/>
            <w:tcBorders>
              <w:top w:val="nil"/>
              <w:left w:val="nil"/>
              <w:bottom w:val="single" w:sz="4" w:space="0" w:color="auto"/>
              <w:right w:val="single" w:sz="4" w:space="0" w:color="auto"/>
            </w:tcBorders>
            <w:shd w:val="clear" w:color="auto" w:fill="auto"/>
            <w:hideMark/>
          </w:tcPr>
          <w:p w14:paraId="2E72DFC0"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Secadora automática de ropa con capacidad de 9 kg, diseñada para el secado eficiente de prendas, textiles y materiales reutilizables de uso doméstico o institucional. Permite reducir la humedad de manera uniforme mediante sistemas de circulación y calentamiento de aire, contribuyendo a optimizar los tiempos de acondicionamiento de textiles. Su capacidad facilita el procesamiento de cargas medianas a grandes, siendo adecuada para áreas de apoyo en laboratorios, oficinas, residencias o dependencias institucionales que requieren manejo frecuente de ropa o materiales textiles. El proveedor deberá realizar la entrega, instalación, puesta en marcha y verificación del correcto funcionamiento del equipo en el laboratorio designado, incluyendo la capacitación básica del personal usuario. Asimismo, deberá garantizar la disponibilidad de servicio técnico especializado, soporte postventa, provisión de repuestos originales y consumibles durante un período mínimo de cinco (2) años posteriores a la instalación. El equipo deberá contar con una garantía mínima de dos (2) años contra defectos de fabricación y funcionamiento, incluyendo mano de obra, asistencia técnica y reemplazo de componentes defectuosos sin costo adicional para la institución durante el período de garantía. El equipo será considerado recibido únicamente una vez instalado, calibrado y funcionando correctamente en las condiciones operativas especificadas por el fabricante.</w:t>
            </w:r>
          </w:p>
        </w:tc>
        <w:tc>
          <w:tcPr>
            <w:tcW w:w="0" w:type="auto"/>
            <w:tcBorders>
              <w:top w:val="nil"/>
              <w:left w:val="nil"/>
              <w:bottom w:val="single" w:sz="4" w:space="0" w:color="auto"/>
              <w:right w:val="single" w:sz="4" w:space="0" w:color="auto"/>
            </w:tcBorders>
            <w:shd w:val="clear" w:color="auto" w:fill="auto"/>
            <w:noWrap/>
            <w:hideMark/>
          </w:tcPr>
          <w:p w14:paraId="07FE847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1</w:t>
            </w:r>
          </w:p>
        </w:tc>
        <w:tc>
          <w:tcPr>
            <w:tcW w:w="0" w:type="auto"/>
            <w:tcBorders>
              <w:top w:val="nil"/>
              <w:left w:val="nil"/>
              <w:bottom w:val="single" w:sz="4" w:space="0" w:color="auto"/>
              <w:right w:val="single" w:sz="4" w:space="0" w:color="auto"/>
            </w:tcBorders>
            <w:shd w:val="clear" w:color="auto" w:fill="auto"/>
            <w:noWrap/>
            <w:hideMark/>
          </w:tcPr>
          <w:p w14:paraId="4A2CC084"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31E26863"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55CB6F0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3.982.500 </w:t>
            </w:r>
          </w:p>
        </w:tc>
        <w:tc>
          <w:tcPr>
            <w:tcW w:w="0" w:type="auto"/>
            <w:tcBorders>
              <w:top w:val="nil"/>
              <w:left w:val="nil"/>
              <w:bottom w:val="single" w:sz="4" w:space="0" w:color="auto"/>
              <w:right w:val="single" w:sz="4" w:space="0" w:color="auto"/>
            </w:tcBorders>
            <w:shd w:val="clear" w:color="auto" w:fill="auto"/>
            <w:noWrap/>
            <w:hideMark/>
          </w:tcPr>
          <w:p w14:paraId="786F9AA3"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3.982.500 </w:t>
            </w:r>
          </w:p>
        </w:tc>
      </w:tr>
      <w:tr w:rsidR="00581335" w:rsidRPr="00581335" w14:paraId="0352D0EE" w14:textId="77777777" w:rsidTr="00581335">
        <w:trPr>
          <w:trHeight w:val="4080"/>
        </w:trPr>
        <w:tc>
          <w:tcPr>
            <w:tcW w:w="410" w:type="dxa"/>
            <w:tcBorders>
              <w:top w:val="nil"/>
              <w:left w:val="single" w:sz="4" w:space="0" w:color="auto"/>
              <w:bottom w:val="single" w:sz="4" w:space="0" w:color="auto"/>
              <w:right w:val="single" w:sz="4" w:space="0" w:color="auto"/>
            </w:tcBorders>
            <w:shd w:val="clear" w:color="auto" w:fill="auto"/>
            <w:noWrap/>
            <w:hideMark/>
          </w:tcPr>
          <w:p w14:paraId="5DA8DAE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191</w:t>
            </w:r>
          </w:p>
        </w:tc>
        <w:tc>
          <w:tcPr>
            <w:tcW w:w="2325" w:type="dxa"/>
            <w:tcBorders>
              <w:top w:val="nil"/>
              <w:left w:val="nil"/>
              <w:bottom w:val="single" w:sz="4" w:space="0" w:color="auto"/>
              <w:right w:val="single" w:sz="4" w:space="0" w:color="auto"/>
            </w:tcBorders>
            <w:shd w:val="clear" w:color="auto" w:fill="auto"/>
            <w:hideMark/>
          </w:tcPr>
          <w:p w14:paraId="31E291C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Microondas</w:t>
            </w:r>
          </w:p>
        </w:tc>
        <w:tc>
          <w:tcPr>
            <w:tcW w:w="0" w:type="auto"/>
            <w:tcBorders>
              <w:top w:val="nil"/>
              <w:left w:val="nil"/>
              <w:bottom w:val="single" w:sz="4" w:space="0" w:color="auto"/>
              <w:right w:val="single" w:sz="4" w:space="0" w:color="auto"/>
            </w:tcBorders>
            <w:shd w:val="clear" w:color="auto" w:fill="auto"/>
            <w:hideMark/>
          </w:tcPr>
          <w:p w14:paraId="5BFF728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Horno microondas con capacidad de 20 litros y potencia de 700 W, diseñado para el calentamiento rápido y uniforme de alimentos, soluciones y materiales compatibles con este tipo de equipos. Su tamaño compacto permite su instalación en espacios reducidos, siendo adecuado para áreas de apoyo, oficinas, laboratorios y dependencias institucionales. Cuenta con sistema de operación sencillo para funciones básicas de calentamiento y descongelamiento, contribuyendo a optimizar tareas cotidianas de uso general. El proveedor deberá realizar la entrega, instalación, puesta en marcha y verificación del correcto funcionamiento del equipo en el laboratorio designado, incluyendo la capacitación básica del personal usuario. Asimismo, deberá garantizar la disponibilidad de servicio técnico especializado, soporte postventa, provisión de repuestos originales y consumibles durante un período mínimo de cinco (2) años posteriores a la instalación. El equipo deberá contar con una garantía mínima de dos (2) años contra defectos de fabricación y funcionamiento, incluyendo mano de obra, asistencia técnica y reemplazo de componentes defectuosos sin costo adicional para la institución durante el período de garantía. El equipo será considerado recibido únicamente una vez instalado, calibrado y funcionando correctamente en las condiciones operativas especificadas por el fabricante.</w:t>
            </w:r>
          </w:p>
        </w:tc>
        <w:tc>
          <w:tcPr>
            <w:tcW w:w="0" w:type="auto"/>
            <w:tcBorders>
              <w:top w:val="nil"/>
              <w:left w:val="nil"/>
              <w:bottom w:val="single" w:sz="4" w:space="0" w:color="auto"/>
              <w:right w:val="single" w:sz="4" w:space="0" w:color="auto"/>
            </w:tcBorders>
            <w:shd w:val="clear" w:color="auto" w:fill="auto"/>
            <w:noWrap/>
            <w:hideMark/>
          </w:tcPr>
          <w:p w14:paraId="71D9B32E"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1</w:t>
            </w:r>
          </w:p>
        </w:tc>
        <w:tc>
          <w:tcPr>
            <w:tcW w:w="0" w:type="auto"/>
            <w:tcBorders>
              <w:top w:val="nil"/>
              <w:left w:val="nil"/>
              <w:bottom w:val="single" w:sz="4" w:space="0" w:color="auto"/>
              <w:right w:val="single" w:sz="4" w:space="0" w:color="auto"/>
            </w:tcBorders>
            <w:shd w:val="clear" w:color="auto" w:fill="auto"/>
            <w:noWrap/>
            <w:hideMark/>
          </w:tcPr>
          <w:p w14:paraId="47BBDB81"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0CE0BE01"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24E5F38C"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468.000 </w:t>
            </w:r>
          </w:p>
        </w:tc>
        <w:tc>
          <w:tcPr>
            <w:tcW w:w="0" w:type="auto"/>
            <w:tcBorders>
              <w:top w:val="nil"/>
              <w:left w:val="nil"/>
              <w:bottom w:val="single" w:sz="4" w:space="0" w:color="auto"/>
              <w:right w:val="single" w:sz="4" w:space="0" w:color="auto"/>
            </w:tcBorders>
            <w:shd w:val="clear" w:color="auto" w:fill="auto"/>
            <w:noWrap/>
            <w:hideMark/>
          </w:tcPr>
          <w:p w14:paraId="24BD0AC4"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468.000 </w:t>
            </w:r>
          </w:p>
        </w:tc>
      </w:tr>
      <w:tr w:rsidR="00581335" w:rsidRPr="00581335" w14:paraId="5BF82386" w14:textId="77777777" w:rsidTr="00581335">
        <w:trPr>
          <w:trHeight w:val="4284"/>
        </w:trPr>
        <w:tc>
          <w:tcPr>
            <w:tcW w:w="410" w:type="dxa"/>
            <w:tcBorders>
              <w:top w:val="nil"/>
              <w:left w:val="single" w:sz="4" w:space="0" w:color="auto"/>
              <w:bottom w:val="single" w:sz="4" w:space="0" w:color="auto"/>
              <w:right w:val="single" w:sz="4" w:space="0" w:color="auto"/>
            </w:tcBorders>
            <w:shd w:val="clear" w:color="auto" w:fill="auto"/>
            <w:noWrap/>
            <w:hideMark/>
          </w:tcPr>
          <w:p w14:paraId="1B25F821"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192</w:t>
            </w:r>
          </w:p>
        </w:tc>
        <w:tc>
          <w:tcPr>
            <w:tcW w:w="2325" w:type="dxa"/>
            <w:tcBorders>
              <w:top w:val="nil"/>
              <w:left w:val="nil"/>
              <w:bottom w:val="single" w:sz="4" w:space="0" w:color="auto"/>
              <w:right w:val="single" w:sz="4" w:space="0" w:color="auto"/>
            </w:tcBorders>
            <w:shd w:val="clear" w:color="auto" w:fill="auto"/>
            <w:hideMark/>
          </w:tcPr>
          <w:p w14:paraId="1AACD047"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Agitador magnético con calentamiento</w:t>
            </w:r>
          </w:p>
        </w:tc>
        <w:tc>
          <w:tcPr>
            <w:tcW w:w="0" w:type="auto"/>
            <w:tcBorders>
              <w:top w:val="nil"/>
              <w:left w:val="nil"/>
              <w:bottom w:val="single" w:sz="4" w:space="0" w:color="auto"/>
              <w:right w:val="single" w:sz="4" w:space="0" w:color="auto"/>
            </w:tcBorders>
            <w:shd w:val="clear" w:color="auto" w:fill="auto"/>
            <w:hideMark/>
          </w:tcPr>
          <w:p w14:paraId="72BEE671"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Agitador magnético con sistema de calentamiento integrado, diseñado para la mezcla homogénea y calentamiento controlado de soluciones en procedimientos de laboratorio. Adecuado para aplicaciones en química, microbiología, biotecnología, preparación de medios de cultivo y formulación de reactivos, permite mantener una agitación constante mediante barra magnética mientras proporciona calentamiento uniforme de las muestras. Su estructura está diseñada para uso continuo en laboratorios de investigación y control de calidad, facilitando la preparación eficiente y segura de soluciones y mezclas líquidas. El proveedor deberá realizar la entrega, instalación, puesta en marcha y verificación del correcto funcionamiento del equipo en el laboratorio designado, incluyendo la capacitación básica del personal usuario. Asimismo, deberá garantizar la disponibilidad de servicio técnico especializado, soporte postventa, provisión de repuestos originales y consumibles durante un período mínimo de cinco (2) años posteriores a la instalación. El equipo deberá contar con una garantía mínima de dos (2) años contra defectos de fabricación y funcionamiento, incluyendo mano de obra, asistencia técnica y reemplazo de componentes defectuosos sin costo adicional para la institución durante el período de garantía. El equipo será considerado recibido únicamente una vez instalado, calibrado y funcionando correctamente en las condiciones operativas </w:t>
            </w:r>
            <w:r w:rsidRPr="00581335">
              <w:rPr>
                <w:rFonts w:asciiTheme="majorHAnsi" w:eastAsia="Times New Roman" w:hAnsiTheme="majorHAnsi" w:cstheme="majorHAnsi"/>
                <w:color w:val="000000"/>
                <w:sz w:val="16"/>
                <w:szCs w:val="16"/>
                <w:lang w:eastAsia="es-PY"/>
              </w:rPr>
              <w:lastRenderedPageBreak/>
              <w:t>especificadas por el fabricante.</w:t>
            </w:r>
          </w:p>
        </w:tc>
        <w:tc>
          <w:tcPr>
            <w:tcW w:w="0" w:type="auto"/>
            <w:tcBorders>
              <w:top w:val="nil"/>
              <w:left w:val="nil"/>
              <w:bottom w:val="single" w:sz="4" w:space="0" w:color="auto"/>
              <w:right w:val="single" w:sz="4" w:space="0" w:color="auto"/>
            </w:tcBorders>
            <w:shd w:val="clear" w:color="auto" w:fill="auto"/>
            <w:noWrap/>
            <w:hideMark/>
          </w:tcPr>
          <w:p w14:paraId="209B752A"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w:t>
            </w:r>
          </w:p>
        </w:tc>
        <w:tc>
          <w:tcPr>
            <w:tcW w:w="0" w:type="auto"/>
            <w:tcBorders>
              <w:top w:val="nil"/>
              <w:left w:val="nil"/>
              <w:bottom w:val="single" w:sz="4" w:space="0" w:color="auto"/>
              <w:right w:val="single" w:sz="4" w:space="0" w:color="auto"/>
            </w:tcBorders>
            <w:shd w:val="clear" w:color="auto" w:fill="auto"/>
            <w:noWrap/>
            <w:hideMark/>
          </w:tcPr>
          <w:p w14:paraId="06EA865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6E30159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45B909DD"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5.642.000 </w:t>
            </w:r>
          </w:p>
        </w:tc>
        <w:tc>
          <w:tcPr>
            <w:tcW w:w="0" w:type="auto"/>
            <w:tcBorders>
              <w:top w:val="nil"/>
              <w:left w:val="nil"/>
              <w:bottom w:val="single" w:sz="4" w:space="0" w:color="auto"/>
              <w:right w:val="single" w:sz="4" w:space="0" w:color="auto"/>
            </w:tcBorders>
            <w:shd w:val="clear" w:color="auto" w:fill="auto"/>
            <w:noWrap/>
            <w:hideMark/>
          </w:tcPr>
          <w:p w14:paraId="66BC2C30"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5.642.000 </w:t>
            </w:r>
          </w:p>
        </w:tc>
      </w:tr>
      <w:tr w:rsidR="00581335" w:rsidRPr="00581335" w14:paraId="40D579DA" w14:textId="77777777" w:rsidTr="00581335">
        <w:trPr>
          <w:trHeight w:val="4284"/>
        </w:trPr>
        <w:tc>
          <w:tcPr>
            <w:tcW w:w="410" w:type="dxa"/>
            <w:tcBorders>
              <w:top w:val="nil"/>
              <w:left w:val="single" w:sz="4" w:space="0" w:color="auto"/>
              <w:bottom w:val="single" w:sz="4" w:space="0" w:color="auto"/>
              <w:right w:val="single" w:sz="4" w:space="0" w:color="auto"/>
            </w:tcBorders>
            <w:shd w:val="clear" w:color="auto" w:fill="auto"/>
            <w:noWrap/>
            <w:hideMark/>
          </w:tcPr>
          <w:p w14:paraId="5977AFB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193</w:t>
            </w:r>
          </w:p>
        </w:tc>
        <w:tc>
          <w:tcPr>
            <w:tcW w:w="2325" w:type="dxa"/>
            <w:tcBorders>
              <w:top w:val="nil"/>
              <w:left w:val="nil"/>
              <w:bottom w:val="single" w:sz="4" w:space="0" w:color="auto"/>
              <w:right w:val="single" w:sz="4" w:space="0" w:color="auto"/>
            </w:tcBorders>
            <w:shd w:val="clear" w:color="auto" w:fill="auto"/>
            <w:hideMark/>
          </w:tcPr>
          <w:p w14:paraId="5F9C9F6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Agitador orbital con incubación</w:t>
            </w:r>
          </w:p>
        </w:tc>
        <w:tc>
          <w:tcPr>
            <w:tcW w:w="0" w:type="auto"/>
            <w:tcBorders>
              <w:top w:val="nil"/>
              <w:left w:val="nil"/>
              <w:bottom w:val="single" w:sz="4" w:space="0" w:color="auto"/>
              <w:right w:val="single" w:sz="4" w:space="0" w:color="auto"/>
            </w:tcBorders>
            <w:shd w:val="clear" w:color="auto" w:fill="auto"/>
            <w:hideMark/>
          </w:tcPr>
          <w:p w14:paraId="169BF46F"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Incubadora agitadora de temperatura constante diseñada para el cultivo y mantenimiento de microorganismos, células y muestras biológicas bajo condiciones controladas de temperatura y agitación. Combina un sistema de incubación térmica con agitación continua, permitiendo una mezcla homogénea y adecuada oxigenación de cultivos líquidos durante procesos experimentales. Es apropiada para aplicaciones en microbiología, biotecnología, biología molecular, fermentación y preparación de inóculos, proporcionando estabilidad térmica y funcionamiento continuo para trabajos de investigación, desarrollo y control de calidad en laboratorio. El proveedor deberá realizar la entrega, instalación, puesta en marcha y verificación del correcto funcionamiento del equipo en el laboratorio designado, incluyendo la capacitación básica del personal usuario. Asimismo, deberá garantizar la disponibilidad de servicio técnico especializado, soporte postventa, provisión de repuestos originales y consumibles durante un </w:t>
            </w:r>
            <w:r w:rsidRPr="00581335">
              <w:rPr>
                <w:rFonts w:asciiTheme="majorHAnsi" w:eastAsia="Times New Roman" w:hAnsiTheme="majorHAnsi" w:cstheme="majorHAnsi"/>
                <w:color w:val="000000"/>
                <w:sz w:val="16"/>
                <w:szCs w:val="16"/>
                <w:lang w:eastAsia="es-PY"/>
              </w:rPr>
              <w:lastRenderedPageBreak/>
              <w:t>período mínimo de cinco (2) años posteriores a la instalación. El equipo deberá contar con una garantía mínima de dos (2) años contra defectos de fabricación y funcionamiento, incluyendo mano de obra, asistencia técnica y reemplazo de componentes defectuosos sin costo adicional para la institución durante el período de garantía. El equipo será considerado recibido únicamente una vez instalado, calibrado y funcionando correctamente en las condiciones operativas especificadas por el fabricante.</w:t>
            </w:r>
          </w:p>
        </w:tc>
        <w:tc>
          <w:tcPr>
            <w:tcW w:w="0" w:type="auto"/>
            <w:tcBorders>
              <w:top w:val="nil"/>
              <w:left w:val="nil"/>
              <w:bottom w:val="single" w:sz="4" w:space="0" w:color="auto"/>
              <w:right w:val="single" w:sz="4" w:space="0" w:color="auto"/>
            </w:tcBorders>
            <w:shd w:val="clear" w:color="auto" w:fill="auto"/>
            <w:noWrap/>
            <w:hideMark/>
          </w:tcPr>
          <w:p w14:paraId="77FCFAC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w:t>
            </w:r>
          </w:p>
        </w:tc>
        <w:tc>
          <w:tcPr>
            <w:tcW w:w="0" w:type="auto"/>
            <w:tcBorders>
              <w:top w:val="nil"/>
              <w:left w:val="nil"/>
              <w:bottom w:val="single" w:sz="4" w:space="0" w:color="auto"/>
              <w:right w:val="single" w:sz="4" w:space="0" w:color="auto"/>
            </w:tcBorders>
            <w:shd w:val="clear" w:color="auto" w:fill="auto"/>
            <w:noWrap/>
            <w:hideMark/>
          </w:tcPr>
          <w:p w14:paraId="3F2D5D77"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4A67687C"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7C20371B"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35.520.000 </w:t>
            </w:r>
          </w:p>
        </w:tc>
        <w:tc>
          <w:tcPr>
            <w:tcW w:w="0" w:type="auto"/>
            <w:tcBorders>
              <w:top w:val="nil"/>
              <w:left w:val="nil"/>
              <w:bottom w:val="single" w:sz="4" w:space="0" w:color="auto"/>
              <w:right w:val="single" w:sz="4" w:space="0" w:color="auto"/>
            </w:tcBorders>
            <w:shd w:val="clear" w:color="auto" w:fill="auto"/>
            <w:noWrap/>
            <w:hideMark/>
          </w:tcPr>
          <w:p w14:paraId="7AEF13BF"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35.520.000 </w:t>
            </w:r>
          </w:p>
        </w:tc>
      </w:tr>
      <w:tr w:rsidR="00581335" w:rsidRPr="00581335" w14:paraId="3F6ED162" w14:textId="77777777" w:rsidTr="00581335">
        <w:trPr>
          <w:trHeight w:val="4488"/>
        </w:trPr>
        <w:tc>
          <w:tcPr>
            <w:tcW w:w="410" w:type="dxa"/>
            <w:tcBorders>
              <w:top w:val="nil"/>
              <w:left w:val="single" w:sz="4" w:space="0" w:color="auto"/>
              <w:bottom w:val="single" w:sz="4" w:space="0" w:color="auto"/>
              <w:right w:val="single" w:sz="4" w:space="0" w:color="auto"/>
            </w:tcBorders>
            <w:shd w:val="clear" w:color="auto" w:fill="auto"/>
            <w:noWrap/>
            <w:hideMark/>
          </w:tcPr>
          <w:p w14:paraId="58B0769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194</w:t>
            </w:r>
          </w:p>
        </w:tc>
        <w:tc>
          <w:tcPr>
            <w:tcW w:w="2325" w:type="dxa"/>
            <w:tcBorders>
              <w:top w:val="nil"/>
              <w:left w:val="nil"/>
              <w:bottom w:val="single" w:sz="4" w:space="0" w:color="auto"/>
              <w:right w:val="single" w:sz="4" w:space="0" w:color="auto"/>
            </w:tcBorders>
            <w:shd w:val="clear" w:color="auto" w:fill="auto"/>
            <w:hideMark/>
          </w:tcPr>
          <w:p w14:paraId="04C242E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Agitador rotatorio</w:t>
            </w:r>
          </w:p>
        </w:tc>
        <w:tc>
          <w:tcPr>
            <w:tcW w:w="0" w:type="auto"/>
            <w:tcBorders>
              <w:top w:val="nil"/>
              <w:left w:val="nil"/>
              <w:bottom w:val="single" w:sz="4" w:space="0" w:color="auto"/>
              <w:right w:val="single" w:sz="4" w:space="0" w:color="auto"/>
            </w:tcBorders>
            <w:shd w:val="clear" w:color="auto" w:fill="auto"/>
            <w:hideMark/>
          </w:tcPr>
          <w:p w14:paraId="2B8CFBF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Mezclador rotatorio agitador diseñado para la mezcla suave y continua de muestras líquidas y suspensiones biológicas mediante movimiento rotatorio controlado. Adecuado para aplicaciones en microbiología, biología molecular, hematología, inmunología y preparación de muestras, permite mantener soluciones homogéneas sin generar daños en materiales sensibles. Compatible con tubos y recipientes de diferentes tamaños, facilita procesos de incubación, extracción, resuspensión y mezcla de reactivos en laboratorios de investigación, diagnóstico y control de calidad. Su diseño compacto y estable permite el funcionamiento continuo bajo condiciones de trabajo de laboratorio. El proveedor deberá realizar la entrega, instalación, puesta en marcha y verificación del correcto funcionamiento del equipo en el laboratorio designado, incluyendo la capacitación básica del personal usuario. Asimismo, deberá garantizar la </w:t>
            </w:r>
            <w:r w:rsidRPr="00581335">
              <w:rPr>
                <w:rFonts w:asciiTheme="majorHAnsi" w:eastAsia="Times New Roman" w:hAnsiTheme="majorHAnsi" w:cstheme="majorHAnsi"/>
                <w:color w:val="000000"/>
                <w:sz w:val="16"/>
                <w:szCs w:val="16"/>
                <w:lang w:eastAsia="es-PY"/>
              </w:rPr>
              <w:lastRenderedPageBreak/>
              <w:t>disponibilidad de servicio técnico especializado, soporte postventa, provisión de repuestos originales y consumibles durante un período mínimo de cinco (5) años posteriores a la instalación. El equipo deberá contar con una garantía mínima de dos (2) años contra defectos de fabricación y funcionamiento, incluyendo mano de obra, asistencia técnica y reemplazo de componentes defectuosos sin costo adicional para la institución durante el período de garantía. El equipo será considerado recibido únicamente una vez instalado, calibrado y funcionando correctamente en las condiciones operativas especificadas por el fabricante.</w:t>
            </w:r>
          </w:p>
        </w:tc>
        <w:tc>
          <w:tcPr>
            <w:tcW w:w="0" w:type="auto"/>
            <w:tcBorders>
              <w:top w:val="nil"/>
              <w:left w:val="nil"/>
              <w:bottom w:val="single" w:sz="4" w:space="0" w:color="auto"/>
              <w:right w:val="single" w:sz="4" w:space="0" w:color="auto"/>
            </w:tcBorders>
            <w:shd w:val="clear" w:color="auto" w:fill="auto"/>
            <w:noWrap/>
            <w:hideMark/>
          </w:tcPr>
          <w:p w14:paraId="5AAB3C73"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w:t>
            </w:r>
          </w:p>
        </w:tc>
        <w:tc>
          <w:tcPr>
            <w:tcW w:w="0" w:type="auto"/>
            <w:tcBorders>
              <w:top w:val="nil"/>
              <w:left w:val="nil"/>
              <w:bottom w:val="single" w:sz="4" w:space="0" w:color="auto"/>
              <w:right w:val="single" w:sz="4" w:space="0" w:color="auto"/>
            </w:tcBorders>
            <w:shd w:val="clear" w:color="auto" w:fill="auto"/>
            <w:noWrap/>
            <w:hideMark/>
          </w:tcPr>
          <w:p w14:paraId="763ADC12"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4B1985A4"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2D28BC0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4.900.000 </w:t>
            </w:r>
          </w:p>
        </w:tc>
        <w:tc>
          <w:tcPr>
            <w:tcW w:w="0" w:type="auto"/>
            <w:tcBorders>
              <w:top w:val="nil"/>
              <w:left w:val="nil"/>
              <w:bottom w:val="single" w:sz="4" w:space="0" w:color="auto"/>
              <w:right w:val="single" w:sz="4" w:space="0" w:color="auto"/>
            </w:tcBorders>
            <w:shd w:val="clear" w:color="auto" w:fill="auto"/>
            <w:noWrap/>
            <w:hideMark/>
          </w:tcPr>
          <w:p w14:paraId="0EC1E4AF"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4.900.000 </w:t>
            </w:r>
          </w:p>
        </w:tc>
      </w:tr>
      <w:tr w:rsidR="00581335" w:rsidRPr="00581335" w14:paraId="6D4D6FA9" w14:textId="77777777" w:rsidTr="00581335">
        <w:trPr>
          <w:trHeight w:val="2040"/>
        </w:trPr>
        <w:tc>
          <w:tcPr>
            <w:tcW w:w="410" w:type="dxa"/>
            <w:tcBorders>
              <w:top w:val="nil"/>
              <w:left w:val="single" w:sz="4" w:space="0" w:color="auto"/>
              <w:bottom w:val="single" w:sz="4" w:space="0" w:color="auto"/>
              <w:right w:val="single" w:sz="4" w:space="0" w:color="auto"/>
            </w:tcBorders>
            <w:shd w:val="clear" w:color="auto" w:fill="auto"/>
            <w:noWrap/>
            <w:hideMark/>
          </w:tcPr>
          <w:p w14:paraId="19638534"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195</w:t>
            </w:r>
          </w:p>
        </w:tc>
        <w:tc>
          <w:tcPr>
            <w:tcW w:w="2325" w:type="dxa"/>
            <w:tcBorders>
              <w:top w:val="nil"/>
              <w:left w:val="nil"/>
              <w:bottom w:val="single" w:sz="4" w:space="0" w:color="auto"/>
              <w:right w:val="single" w:sz="4" w:space="0" w:color="auto"/>
            </w:tcBorders>
            <w:shd w:val="clear" w:color="auto" w:fill="auto"/>
            <w:hideMark/>
          </w:tcPr>
          <w:p w14:paraId="19F9E540"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Agitador vortex</w:t>
            </w:r>
          </w:p>
        </w:tc>
        <w:tc>
          <w:tcPr>
            <w:tcW w:w="0" w:type="auto"/>
            <w:tcBorders>
              <w:top w:val="nil"/>
              <w:left w:val="nil"/>
              <w:bottom w:val="single" w:sz="4" w:space="0" w:color="auto"/>
              <w:right w:val="single" w:sz="4" w:space="0" w:color="auto"/>
            </w:tcBorders>
            <w:shd w:val="clear" w:color="auto" w:fill="auto"/>
            <w:hideMark/>
          </w:tcPr>
          <w:p w14:paraId="22DC750F"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Agitador vortex de laboratorio diseñado para la mezcla rápida y eficiente de soluciones en tubos y pequeños recipientes mediante movimiento vibratorio circular de alta velocidad. Adecuado para aplicaciones en microbiología, biología molecular, química y preparación de muestras, permite homogeneizar suspensiones, reactivos y cultivos de manera uniforme en pocos segundos. Su funcionamiento facilita procesos de resuspensión celular, preparación de mezclas y disolución de compuestos, siendo un equipo de uso rutinario en laboratorios de investigación, diagnóstico y control de calidad. Su diseño compacto y estable permite un manejo sencillo y operación continua en condiciones de laboratorio.</w:t>
            </w:r>
          </w:p>
        </w:tc>
        <w:tc>
          <w:tcPr>
            <w:tcW w:w="0" w:type="auto"/>
            <w:tcBorders>
              <w:top w:val="nil"/>
              <w:left w:val="nil"/>
              <w:bottom w:val="single" w:sz="4" w:space="0" w:color="auto"/>
              <w:right w:val="single" w:sz="4" w:space="0" w:color="auto"/>
            </w:tcBorders>
            <w:shd w:val="clear" w:color="auto" w:fill="auto"/>
            <w:noWrap/>
            <w:hideMark/>
          </w:tcPr>
          <w:p w14:paraId="7E838BC0"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1</w:t>
            </w:r>
          </w:p>
        </w:tc>
        <w:tc>
          <w:tcPr>
            <w:tcW w:w="0" w:type="auto"/>
            <w:tcBorders>
              <w:top w:val="nil"/>
              <w:left w:val="nil"/>
              <w:bottom w:val="single" w:sz="4" w:space="0" w:color="auto"/>
              <w:right w:val="single" w:sz="4" w:space="0" w:color="auto"/>
            </w:tcBorders>
            <w:shd w:val="clear" w:color="auto" w:fill="auto"/>
            <w:noWrap/>
            <w:hideMark/>
          </w:tcPr>
          <w:p w14:paraId="179533A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51EB1430"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427247B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6.190.000 </w:t>
            </w:r>
          </w:p>
        </w:tc>
        <w:tc>
          <w:tcPr>
            <w:tcW w:w="0" w:type="auto"/>
            <w:tcBorders>
              <w:top w:val="nil"/>
              <w:left w:val="nil"/>
              <w:bottom w:val="single" w:sz="4" w:space="0" w:color="auto"/>
              <w:right w:val="single" w:sz="4" w:space="0" w:color="auto"/>
            </w:tcBorders>
            <w:shd w:val="clear" w:color="auto" w:fill="auto"/>
            <w:noWrap/>
            <w:hideMark/>
          </w:tcPr>
          <w:p w14:paraId="3535D587"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6.190.000 </w:t>
            </w:r>
          </w:p>
        </w:tc>
      </w:tr>
      <w:tr w:rsidR="00581335" w:rsidRPr="00581335" w14:paraId="01046533" w14:textId="77777777" w:rsidTr="00581335">
        <w:trPr>
          <w:trHeight w:val="8192"/>
        </w:trPr>
        <w:tc>
          <w:tcPr>
            <w:tcW w:w="410" w:type="dxa"/>
            <w:tcBorders>
              <w:top w:val="nil"/>
              <w:left w:val="single" w:sz="4" w:space="0" w:color="auto"/>
              <w:bottom w:val="single" w:sz="4" w:space="0" w:color="auto"/>
              <w:right w:val="single" w:sz="4" w:space="0" w:color="auto"/>
            </w:tcBorders>
            <w:shd w:val="clear" w:color="auto" w:fill="auto"/>
            <w:noWrap/>
            <w:hideMark/>
          </w:tcPr>
          <w:p w14:paraId="4EC19B82"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196</w:t>
            </w:r>
          </w:p>
        </w:tc>
        <w:tc>
          <w:tcPr>
            <w:tcW w:w="2325" w:type="dxa"/>
            <w:tcBorders>
              <w:top w:val="nil"/>
              <w:left w:val="nil"/>
              <w:bottom w:val="single" w:sz="4" w:space="0" w:color="auto"/>
              <w:right w:val="single" w:sz="4" w:space="0" w:color="auto"/>
            </w:tcBorders>
            <w:shd w:val="clear" w:color="auto" w:fill="auto"/>
            <w:hideMark/>
          </w:tcPr>
          <w:p w14:paraId="7477A077"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Centrífuga refrigerada</w:t>
            </w:r>
          </w:p>
        </w:tc>
        <w:tc>
          <w:tcPr>
            <w:tcW w:w="0" w:type="auto"/>
            <w:tcBorders>
              <w:top w:val="nil"/>
              <w:left w:val="nil"/>
              <w:bottom w:val="single" w:sz="4" w:space="0" w:color="auto"/>
              <w:right w:val="single" w:sz="4" w:space="0" w:color="auto"/>
            </w:tcBorders>
            <w:shd w:val="clear" w:color="auto" w:fill="auto"/>
            <w:hideMark/>
          </w:tcPr>
          <w:p w14:paraId="2C53F80F"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Centrífuga refrigerada de alta velocidad de sobremesa, diseñada para la separación eficiente de partículas, células, microorganismos, ácidos nucleicos, proteínas y otros componentes biológicos o químicos en laboratorios de investigación, diagnóstico, biotecnología, microbiología, biología molecular, ciencias biomédicas y control de calidad. El equipo cuenta con sistema de refrigeración integrado que permite mantener temperaturas controladas durante el proceso de centrifugación, contribuyendo a la preservación de muestras termolábiles y garantizando la integridad de biomoléculas sensibles. Dispone de control digital mediante microprocesador para la programación y monitoreo de parámetros operativos, incluyendo velocidad, fuerza centrífuga relativa (RCF), temperatura y tiempo de funcionamiento. Su diseño de sobremesa optimiza el espacio de trabajo y facilita la operación rutinaria en laboratorios con diferentes necesidades analíticas. Incorpora sistemas de seguridad que incluyen detección de desequilibrio, bloqueo automático de tapa durante la operación, protección contra sobrevelocidad, monitoreo de temperatura y sistemas de autodiagnóstico. Incluye un conjunto de rotores angulares intercambiables que permiten procesar diferentes tipos y volúmenes de muestras:</w:t>
            </w:r>
            <w:r w:rsidRPr="00581335">
              <w:rPr>
                <w:rFonts w:asciiTheme="majorHAnsi" w:eastAsia="Times New Roman" w:hAnsiTheme="majorHAnsi" w:cstheme="majorHAnsi"/>
                <w:color w:val="000000"/>
                <w:sz w:val="16"/>
                <w:szCs w:val="16"/>
                <w:lang w:eastAsia="es-PY"/>
              </w:rPr>
              <w:br/>
              <w:t>Rotor angular para 12 tubos de 1,5/2,0 mL, con adaptadores para tubos de 0,2 mL y 0,5 mL.</w:t>
            </w:r>
            <w:r w:rsidRPr="00581335">
              <w:rPr>
                <w:rFonts w:asciiTheme="majorHAnsi" w:eastAsia="Times New Roman" w:hAnsiTheme="majorHAnsi" w:cstheme="majorHAnsi"/>
                <w:color w:val="000000"/>
                <w:sz w:val="16"/>
                <w:szCs w:val="16"/>
                <w:lang w:eastAsia="es-PY"/>
              </w:rPr>
              <w:br/>
              <w:t xml:space="preserve">Rotor angular para 10 tubos de 5 mL de fondo </w:t>
            </w:r>
            <w:r w:rsidRPr="00581335">
              <w:rPr>
                <w:rFonts w:asciiTheme="majorHAnsi" w:eastAsia="Times New Roman" w:hAnsiTheme="majorHAnsi" w:cstheme="majorHAnsi"/>
                <w:color w:val="000000"/>
                <w:sz w:val="16"/>
                <w:szCs w:val="16"/>
                <w:lang w:eastAsia="es-PY"/>
              </w:rPr>
              <w:lastRenderedPageBreak/>
              <w:t>redondo.</w:t>
            </w:r>
            <w:r w:rsidRPr="00581335">
              <w:rPr>
                <w:rFonts w:asciiTheme="majorHAnsi" w:eastAsia="Times New Roman" w:hAnsiTheme="majorHAnsi" w:cstheme="majorHAnsi"/>
                <w:color w:val="000000"/>
                <w:sz w:val="16"/>
                <w:szCs w:val="16"/>
                <w:lang w:eastAsia="es-PY"/>
              </w:rPr>
              <w:br/>
              <w:t>Rotor angular para 8 tubos de 15 mL de fondo redondo.</w:t>
            </w:r>
            <w:r w:rsidRPr="00581335">
              <w:rPr>
                <w:rFonts w:asciiTheme="majorHAnsi" w:eastAsia="Times New Roman" w:hAnsiTheme="majorHAnsi" w:cstheme="majorHAnsi"/>
                <w:color w:val="000000"/>
                <w:sz w:val="16"/>
                <w:szCs w:val="16"/>
                <w:lang w:eastAsia="es-PY"/>
              </w:rPr>
              <w:br/>
              <w:t>Rotor angular para 8 tubos de 15 mL de fondo cónico.</w:t>
            </w:r>
            <w:r w:rsidRPr="00581335">
              <w:rPr>
                <w:rFonts w:asciiTheme="majorHAnsi" w:eastAsia="Times New Roman" w:hAnsiTheme="majorHAnsi" w:cstheme="majorHAnsi"/>
                <w:color w:val="000000"/>
                <w:sz w:val="16"/>
                <w:szCs w:val="16"/>
                <w:lang w:eastAsia="es-PY"/>
              </w:rPr>
              <w:br/>
              <w:t>Rotor angular para 6 tubos de 50 mL de fondo redondo.</w:t>
            </w:r>
            <w:r w:rsidRPr="00581335">
              <w:rPr>
                <w:rFonts w:asciiTheme="majorHAnsi" w:eastAsia="Times New Roman" w:hAnsiTheme="majorHAnsi" w:cstheme="majorHAnsi"/>
                <w:color w:val="000000"/>
                <w:sz w:val="16"/>
                <w:szCs w:val="16"/>
                <w:lang w:eastAsia="es-PY"/>
              </w:rPr>
              <w:br/>
              <w:t>Rotor angular para 6 tubos de 50 mL de fondo cónico.</w:t>
            </w:r>
            <w:r w:rsidRPr="00581335">
              <w:rPr>
                <w:rFonts w:asciiTheme="majorHAnsi" w:eastAsia="Times New Roman" w:hAnsiTheme="majorHAnsi" w:cstheme="majorHAnsi"/>
                <w:color w:val="000000"/>
                <w:sz w:val="16"/>
                <w:szCs w:val="16"/>
                <w:lang w:eastAsia="es-PY"/>
              </w:rPr>
              <w:br/>
              <w:t xml:space="preserve">La configuración suministrada proporciona versatilidad para aplicaciones de extracción y purificación de ADN y ARN, preparación de muestras para PCR, sedimentación celular, separación de biomoléculas, procesamiento microbiológico y otras actividades de laboratorio que requieren centrifugación a alta velocidad bajo condiciones controladas de temperatura. Incluye todos los accesorios necesarios para la correcta instalación y puesta en funcionamiento del equipo.El proveedor deberá realizar la entrega, instalación, puesta en marcha y verificación del correcto funcionamiento del equipo en el laboratorio designado, incluyendo la capacitación básica del personal usuario. Asimismo, deberá garantizar la disponibilidad de servicio técnico especializado, soporte postventa, provisión de repuestos originales y consumibles durante un período mínimo de cinco (5) años posteriores a la instalación. El equipo deberá contar con una garantía mínima de dos (2) años contra defectos de fabricación y funcionamiento, incluyendo mano de obra, asistencia técnica y reemplazo de componentes defectuosos sin costo adicional para la institución durante el período de garantía. El </w:t>
            </w:r>
            <w:r w:rsidRPr="00581335">
              <w:rPr>
                <w:rFonts w:asciiTheme="majorHAnsi" w:eastAsia="Times New Roman" w:hAnsiTheme="majorHAnsi" w:cstheme="majorHAnsi"/>
                <w:color w:val="000000"/>
                <w:sz w:val="16"/>
                <w:szCs w:val="16"/>
                <w:lang w:eastAsia="es-PY"/>
              </w:rPr>
              <w:lastRenderedPageBreak/>
              <w:t>equipo será considerado recibido únicamente una vez instalado, calibrado y funcionando correctamente en las condiciones operativas especificadas por el fabricante.</w:t>
            </w:r>
          </w:p>
        </w:tc>
        <w:tc>
          <w:tcPr>
            <w:tcW w:w="0" w:type="auto"/>
            <w:tcBorders>
              <w:top w:val="nil"/>
              <w:left w:val="nil"/>
              <w:bottom w:val="single" w:sz="4" w:space="0" w:color="auto"/>
              <w:right w:val="single" w:sz="4" w:space="0" w:color="auto"/>
            </w:tcBorders>
            <w:shd w:val="clear" w:color="auto" w:fill="auto"/>
            <w:noWrap/>
            <w:hideMark/>
          </w:tcPr>
          <w:p w14:paraId="2C60109F"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w:t>
            </w:r>
          </w:p>
        </w:tc>
        <w:tc>
          <w:tcPr>
            <w:tcW w:w="0" w:type="auto"/>
            <w:tcBorders>
              <w:top w:val="nil"/>
              <w:left w:val="nil"/>
              <w:bottom w:val="single" w:sz="4" w:space="0" w:color="auto"/>
              <w:right w:val="single" w:sz="4" w:space="0" w:color="auto"/>
            </w:tcBorders>
            <w:shd w:val="clear" w:color="auto" w:fill="auto"/>
            <w:noWrap/>
            <w:hideMark/>
          </w:tcPr>
          <w:p w14:paraId="7C6A6DF0"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1A0889A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549569B7"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88.320.000 </w:t>
            </w:r>
          </w:p>
        </w:tc>
        <w:tc>
          <w:tcPr>
            <w:tcW w:w="0" w:type="auto"/>
            <w:tcBorders>
              <w:top w:val="nil"/>
              <w:left w:val="nil"/>
              <w:bottom w:val="single" w:sz="4" w:space="0" w:color="auto"/>
              <w:right w:val="single" w:sz="4" w:space="0" w:color="auto"/>
            </w:tcBorders>
            <w:shd w:val="clear" w:color="auto" w:fill="auto"/>
            <w:noWrap/>
            <w:hideMark/>
          </w:tcPr>
          <w:p w14:paraId="0305651B"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88.320.000 </w:t>
            </w:r>
          </w:p>
        </w:tc>
      </w:tr>
      <w:tr w:rsidR="00581335" w:rsidRPr="00581335" w14:paraId="3EA8715B" w14:textId="77777777" w:rsidTr="00581335">
        <w:trPr>
          <w:trHeight w:val="7752"/>
        </w:trPr>
        <w:tc>
          <w:tcPr>
            <w:tcW w:w="410" w:type="dxa"/>
            <w:tcBorders>
              <w:top w:val="nil"/>
              <w:left w:val="single" w:sz="4" w:space="0" w:color="auto"/>
              <w:bottom w:val="single" w:sz="4" w:space="0" w:color="auto"/>
              <w:right w:val="single" w:sz="4" w:space="0" w:color="auto"/>
            </w:tcBorders>
            <w:shd w:val="clear" w:color="auto" w:fill="auto"/>
            <w:noWrap/>
            <w:hideMark/>
          </w:tcPr>
          <w:p w14:paraId="20AB055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197</w:t>
            </w:r>
          </w:p>
        </w:tc>
        <w:tc>
          <w:tcPr>
            <w:tcW w:w="2325" w:type="dxa"/>
            <w:tcBorders>
              <w:top w:val="nil"/>
              <w:left w:val="nil"/>
              <w:bottom w:val="single" w:sz="4" w:space="0" w:color="auto"/>
              <w:right w:val="single" w:sz="4" w:space="0" w:color="auto"/>
            </w:tcBorders>
            <w:shd w:val="clear" w:color="auto" w:fill="auto"/>
            <w:noWrap/>
            <w:hideMark/>
          </w:tcPr>
          <w:p w14:paraId="5BF87A5E"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pH metro</w:t>
            </w:r>
          </w:p>
        </w:tc>
        <w:tc>
          <w:tcPr>
            <w:tcW w:w="0" w:type="auto"/>
            <w:tcBorders>
              <w:top w:val="nil"/>
              <w:left w:val="nil"/>
              <w:bottom w:val="single" w:sz="4" w:space="0" w:color="auto"/>
              <w:right w:val="single" w:sz="4" w:space="0" w:color="auto"/>
            </w:tcBorders>
            <w:shd w:val="clear" w:color="auto" w:fill="auto"/>
            <w:hideMark/>
          </w:tcPr>
          <w:p w14:paraId="667B55CE"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hyperlink r:id="rId12" w:history="1">
              <w:r w:rsidRPr="00581335">
                <w:rPr>
                  <w:rFonts w:asciiTheme="majorHAnsi" w:eastAsia="Times New Roman" w:hAnsiTheme="majorHAnsi" w:cstheme="majorHAnsi"/>
                  <w:sz w:val="16"/>
                  <w:szCs w:val="16"/>
                  <w:lang w:eastAsia="es-PY"/>
                </w:rPr>
                <w:t xml:space="preserve">Un pH-metro de mesa para laboratorio es un instrumento de medición electroquímica diseñado para determinar con alta precisión el pH de soluciones acuosas, esencial en análisis microbiológicos, fisicoquímicos y de control de calidad en alimentos, aguas, bebidas y otros productos. Está compuesto por una unidad principal con pantalla digital (LCD o LED) de fácil lectura, un electrodo de vidrio combinado (pH) y un sensor de temperatura (PT100/PT1000 o termistor), lo que permite la compensación automática de temperatura (ATC) para garantizar mediciones exactas. El equipo debe ofrecer un rango de medición de pH de aproximadamente –2,00 a 16,00 con resolución mínima de 0,01 unidades y exactitud de ±0,01, así como capacidad para medir temperatura en un rango de 0 a 100 °C o superior. Incluye funciones de calibración automática en múltiples puntos (normalmente de 2 a 5) con reconocimiento automático de tampones, almacenamiento de resultados, registro de fecha y hora, y alarma de mantenimiento o reemplazo del electrodo. El soporte de electrodo ajustable facilita un posicionamiento estable y ergonómico durante la medición. El pH-metro de mesa debe suministrarse con electrodo de pH, sensor de temperatura, soporte de electrodo, cable de alimentación, manual de usuario y un juego completo de soluciones tampón certificadas para calibración (pH 4,00; 7,00 y 10,00) en envases sellados y con fecha de vencimiento </w:t>
              </w:r>
              <w:r w:rsidRPr="00581335">
                <w:rPr>
                  <w:rFonts w:asciiTheme="majorHAnsi" w:eastAsia="Times New Roman" w:hAnsiTheme="majorHAnsi" w:cstheme="majorHAnsi"/>
                  <w:color w:val="1155CC"/>
                  <w:sz w:val="16"/>
                  <w:szCs w:val="16"/>
                  <w:u w:val="single"/>
                  <w:lang w:eastAsia="es-PY"/>
                </w:rPr>
                <w:lastRenderedPageBreak/>
                <w:t>vigente. S</w:t>
              </w:r>
              <w:r w:rsidRPr="00581335">
                <w:rPr>
                  <w:rFonts w:asciiTheme="majorHAnsi" w:eastAsia="Times New Roman" w:hAnsiTheme="majorHAnsi" w:cstheme="majorHAnsi"/>
                  <w:sz w:val="16"/>
                  <w:szCs w:val="16"/>
                  <w:lang w:eastAsia="es-PY"/>
                </w:rPr>
                <w:t>e requiere que el equipo sea entregado calibrado con certificado vigente emitido por laboratorio acreditado, cuente con un mínimo de dos (2) años de garantía y disponga de servicio postventa que incluya mantenimiento preventivo, soporte técnico especializado y disponibilidad asegurada de repuestos originales, con tiempos de respuesta rápidos para garantizar su continuidad operativa en entornos de laboratorio. El proveedor deberá realizar la entrega, instalación, puesta en marcha y verificación del correcto funcionamiento del equipo en el laboratorio designado, incluyendo la capacitación básica del personal usuario. Asimismo, deberá garantizar la disponibilidad de servicio técnico especializado, soporte postventa, provisión de repuestos originales y consumibles durante un período mínimo de cinco (5) años posteriores a la instalación. El equipo deberá contar con una garantía mínima de dos (2) años contra defectos de fabricación y funcionamiento, incluyendo mano de obra, asistencia técnica y reemplazo de componentes defectuosos sin costo adicional para la institución durante el período de garantía. El equipo será considerado recibido únicamente una vez instalado, calibrado y funcionando correctamente en las condiciones operativas especificadas por el fabricante.</w:t>
              </w:r>
            </w:hyperlink>
          </w:p>
        </w:tc>
        <w:tc>
          <w:tcPr>
            <w:tcW w:w="0" w:type="auto"/>
            <w:tcBorders>
              <w:top w:val="nil"/>
              <w:left w:val="nil"/>
              <w:bottom w:val="single" w:sz="4" w:space="0" w:color="auto"/>
              <w:right w:val="single" w:sz="4" w:space="0" w:color="auto"/>
            </w:tcBorders>
            <w:shd w:val="clear" w:color="auto" w:fill="auto"/>
            <w:noWrap/>
            <w:hideMark/>
          </w:tcPr>
          <w:p w14:paraId="2497A657"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w:t>
            </w:r>
          </w:p>
        </w:tc>
        <w:tc>
          <w:tcPr>
            <w:tcW w:w="0" w:type="auto"/>
            <w:tcBorders>
              <w:top w:val="nil"/>
              <w:left w:val="nil"/>
              <w:bottom w:val="single" w:sz="4" w:space="0" w:color="auto"/>
              <w:right w:val="single" w:sz="4" w:space="0" w:color="auto"/>
            </w:tcBorders>
            <w:shd w:val="clear" w:color="auto" w:fill="auto"/>
            <w:noWrap/>
            <w:hideMark/>
          </w:tcPr>
          <w:p w14:paraId="68D51DA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52DFD63A"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702A563E"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9.900.000 </w:t>
            </w:r>
          </w:p>
        </w:tc>
        <w:tc>
          <w:tcPr>
            <w:tcW w:w="0" w:type="auto"/>
            <w:tcBorders>
              <w:top w:val="nil"/>
              <w:left w:val="nil"/>
              <w:bottom w:val="single" w:sz="4" w:space="0" w:color="auto"/>
              <w:right w:val="single" w:sz="4" w:space="0" w:color="auto"/>
            </w:tcBorders>
            <w:shd w:val="clear" w:color="auto" w:fill="auto"/>
            <w:noWrap/>
            <w:hideMark/>
          </w:tcPr>
          <w:p w14:paraId="233B8D4C"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9.900.000 </w:t>
            </w:r>
          </w:p>
        </w:tc>
      </w:tr>
      <w:tr w:rsidR="00581335" w:rsidRPr="00581335" w14:paraId="4E832280" w14:textId="77777777" w:rsidTr="00581335">
        <w:trPr>
          <w:trHeight w:val="6936"/>
        </w:trPr>
        <w:tc>
          <w:tcPr>
            <w:tcW w:w="410" w:type="dxa"/>
            <w:tcBorders>
              <w:top w:val="nil"/>
              <w:left w:val="single" w:sz="4" w:space="0" w:color="auto"/>
              <w:bottom w:val="single" w:sz="4" w:space="0" w:color="auto"/>
              <w:right w:val="single" w:sz="4" w:space="0" w:color="auto"/>
            </w:tcBorders>
            <w:shd w:val="clear" w:color="auto" w:fill="auto"/>
            <w:noWrap/>
            <w:hideMark/>
          </w:tcPr>
          <w:p w14:paraId="5F11743E"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198</w:t>
            </w:r>
          </w:p>
        </w:tc>
        <w:tc>
          <w:tcPr>
            <w:tcW w:w="2325" w:type="dxa"/>
            <w:tcBorders>
              <w:top w:val="nil"/>
              <w:left w:val="nil"/>
              <w:bottom w:val="single" w:sz="4" w:space="0" w:color="auto"/>
              <w:right w:val="single" w:sz="4" w:space="0" w:color="auto"/>
            </w:tcBorders>
            <w:shd w:val="clear" w:color="auto" w:fill="auto"/>
            <w:noWrap/>
            <w:hideMark/>
          </w:tcPr>
          <w:p w14:paraId="3BA5539A"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Estación de trabajo</w:t>
            </w:r>
          </w:p>
        </w:tc>
        <w:tc>
          <w:tcPr>
            <w:tcW w:w="0" w:type="auto"/>
            <w:tcBorders>
              <w:top w:val="nil"/>
              <w:left w:val="nil"/>
              <w:bottom w:val="single" w:sz="4" w:space="0" w:color="auto"/>
              <w:right w:val="single" w:sz="4" w:space="0" w:color="auto"/>
            </w:tcBorders>
            <w:shd w:val="clear" w:color="auto" w:fill="auto"/>
            <w:hideMark/>
          </w:tcPr>
          <w:p w14:paraId="5085160F"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Estación de trabajo de sobremesa diseñada para procedimientos de reacción en cadena de la polimerasa (PCR), con protección avanzada contra contaminación cruzada. Integra un sistema de irradiación ultravioleta de alta intensidad, con reflectores estratégicamente ubicados para una distribución homogénea de la luz en toda la cámara de trabajo. Incorpora flujo de aire descendente (downflow) con presión positiva interna, que mantiene un entorno estéril y evita la entrada de contaminantes desde el exterior. La estructura cuenta con ventanas acrílicas transparentes resistentes a impactos que bloquean los rayos UV, bandeja de trabajo oscura para facilitar la detección de derrames, alerón frontal de acceso rápido y puertos de servicio con cubiertas para conexión de equipos adicionales. Dispone de estantes laterales para organización de material, iluminación LED blanca independiente para trabajo en condiciones de visibilidad óptima y temporizador para exposición UV ajustable de 5 a 30 minutos. La velocidad del flujo de aire aumenta automáticamente al abrir la puerta frontal, alcanzando hasta 0,45 m/s en la zona de trabajo para mantener el nivel de protección. Se requiere que el equipo sea entregado instalado y calibrado, cuente con un mínimo de dos (2) años de garantía, y disponga de servicio postventa que incluya mantenimiento preventivo, soporte técnico especializado y disponibilidad asegurada de repuestos originales, con tiempos de respuesta ágiles que garanticen su continuidad operativa en entornos de </w:t>
            </w:r>
            <w:r w:rsidRPr="00581335">
              <w:rPr>
                <w:rFonts w:asciiTheme="majorHAnsi" w:eastAsia="Times New Roman" w:hAnsiTheme="majorHAnsi" w:cstheme="majorHAnsi"/>
                <w:color w:val="000000"/>
                <w:sz w:val="16"/>
                <w:szCs w:val="16"/>
                <w:lang w:eastAsia="es-PY"/>
              </w:rPr>
              <w:lastRenderedPageBreak/>
              <w:t>investigación y docencia universitaria. El proveedor deberá realizar la entrega, instalación, puesta en marcha y verificación del correcto funcionamiento del equipo en el laboratorio designado, incluyendo la capacitación básica del personal usuario. Asimismo, deberá garantizar la disponibilidad de servicio técnico especializado, soporte postventa, provisión de repuestos originales y consumibles durante un período mínimo de cinco (5) años posteriores a la instalación. El equipo deberá contar con una garantía mínima de dos (2) años contra defectos de fabricación y funcionamiento, incluyendo mano de obra, asistencia técnica y reemplazo de componentes defectuosos sin costo adicional para la institución durante el período de garantía. El equipo será considerado recibido únicamente una vez instalado, calibrado y funcionando correctamente en las condiciones operativas especificadas por el fabricante.</w:t>
            </w:r>
          </w:p>
        </w:tc>
        <w:tc>
          <w:tcPr>
            <w:tcW w:w="0" w:type="auto"/>
            <w:tcBorders>
              <w:top w:val="nil"/>
              <w:left w:val="nil"/>
              <w:bottom w:val="single" w:sz="4" w:space="0" w:color="auto"/>
              <w:right w:val="single" w:sz="4" w:space="0" w:color="auto"/>
            </w:tcBorders>
            <w:shd w:val="clear" w:color="auto" w:fill="auto"/>
            <w:noWrap/>
            <w:hideMark/>
          </w:tcPr>
          <w:p w14:paraId="1CAC127F"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w:t>
            </w:r>
          </w:p>
        </w:tc>
        <w:tc>
          <w:tcPr>
            <w:tcW w:w="0" w:type="auto"/>
            <w:tcBorders>
              <w:top w:val="nil"/>
              <w:left w:val="nil"/>
              <w:bottom w:val="single" w:sz="4" w:space="0" w:color="auto"/>
              <w:right w:val="single" w:sz="4" w:space="0" w:color="auto"/>
            </w:tcBorders>
            <w:shd w:val="clear" w:color="auto" w:fill="auto"/>
            <w:noWrap/>
            <w:hideMark/>
          </w:tcPr>
          <w:p w14:paraId="104E4BD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26BFFEFA"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2EA57312"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24.750.000 </w:t>
            </w:r>
          </w:p>
        </w:tc>
        <w:tc>
          <w:tcPr>
            <w:tcW w:w="0" w:type="auto"/>
            <w:tcBorders>
              <w:top w:val="nil"/>
              <w:left w:val="nil"/>
              <w:bottom w:val="single" w:sz="4" w:space="0" w:color="auto"/>
              <w:right w:val="single" w:sz="4" w:space="0" w:color="auto"/>
            </w:tcBorders>
            <w:shd w:val="clear" w:color="auto" w:fill="auto"/>
            <w:noWrap/>
            <w:hideMark/>
          </w:tcPr>
          <w:p w14:paraId="1C3C4080"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24.750.000 </w:t>
            </w:r>
          </w:p>
        </w:tc>
      </w:tr>
      <w:tr w:rsidR="00581335" w:rsidRPr="00581335" w14:paraId="7692F312" w14:textId="77777777" w:rsidTr="00581335">
        <w:trPr>
          <w:trHeight w:val="4488"/>
        </w:trPr>
        <w:tc>
          <w:tcPr>
            <w:tcW w:w="410" w:type="dxa"/>
            <w:tcBorders>
              <w:top w:val="nil"/>
              <w:left w:val="single" w:sz="4" w:space="0" w:color="auto"/>
              <w:bottom w:val="single" w:sz="4" w:space="0" w:color="auto"/>
              <w:right w:val="single" w:sz="4" w:space="0" w:color="auto"/>
            </w:tcBorders>
            <w:shd w:val="clear" w:color="auto" w:fill="auto"/>
            <w:noWrap/>
            <w:hideMark/>
          </w:tcPr>
          <w:p w14:paraId="17CF6497"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199</w:t>
            </w:r>
          </w:p>
        </w:tc>
        <w:tc>
          <w:tcPr>
            <w:tcW w:w="2325" w:type="dxa"/>
            <w:tcBorders>
              <w:top w:val="nil"/>
              <w:left w:val="nil"/>
              <w:bottom w:val="single" w:sz="4" w:space="0" w:color="auto"/>
              <w:right w:val="single" w:sz="4" w:space="0" w:color="auto"/>
            </w:tcBorders>
            <w:shd w:val="clear" w:color="auto" w:fill="auto"/>
            <w:noWrap/>
            <w:hideMark/>
          </w:tcPr>
          <w:p w14:paraId="0A52B167"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Tanque de electroforesis horizontal con fuente de poder</w:t>
            </w:r>
          </w:p>
        </w:tc>
        <w:tc>
          <w:tcPr>
            <w:tcW w:w="0" w:type="auto"/>
            <w:tcBorders>
              <w:top w:val="nil"/>
              <w:left w:val="nil"/>
              <w:bottom w:val="single" w:sz="4" w:space="0" w:color="auto"/>
              <w:right w:val="single" w:sz="4" w:space="0" w:color="auto"/>
            </w:tcBorders>
            <w:shd w:val="clear" w:color="auto" w:fill="auto"/>
            <w:hideMark/>
          </w:tcPr>
          <w:p w14:paraId="216C66E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Tanque de electroforesis horizontal con fuente de alimentación para electroforesis diseñado para la separación y análisis de ácidos nucleicos mediante técnicas de electroforesis en gel. Adecuado para aplicaciones en biología molecular, genética, microbiología y biotecnología, permite la migración y visualización de fragmentos de ADN y ARN bajo condiciones controladas de voltaje y corriente. El sistema incluye cámara horizontal de electroforesis y fuente de alimentación compatible, facilitando procedimientos de análisis molecular, </w:t>
            </w:r>
            <w:r w:rsidRPr="00581335">
              <w:rPr>
                <w:rFonts w:asciiTheme="majorHAnsi" w:eastAsia="Times New Roman" w:hAnsiTheme="majorHAnsi" w:cstheme="majorHAnsi"/>
                <w:color w:val="000000"/>
                <w:sz w:val="16"/>
                <w:szCs w:val="16"/>
                <w:lang w:eastAsia="es-PY"/>
              </w:rPr>
              <w:lastRenderedPageBreak/>
              <w:t>verificación de productos de PCR, evaluación de integridad de muestras y estudios genéticos en laboratorios de investigación y diagnóstico. El proveedor deberá realizar la entrega, instalación, puesta en marcha y verificación del correcto funcionamiento del equipo en el laboratorio designado, incluyendo la capacitación básica del personal usuario. Asimismo, deberá garantizar la disponibilidad de servicio técnico especializado, soporte postventa, provisión de repuestos originales y consumibles durante un período mínimo de cinco (5) años posteriores a la instalación. El equipo deberá contar con una garantía mínima de dos (2) años contra defectos de fabricación y funcionamiento, incluyendo mano de obra, asistencia técnica y reemplazo de componentes defectuosos sin costo adicional para la institución durante el período de garantía. El equipo será considerado recibido únicamente una vez instalado, calibrado y funcionando correctamente en las condiciones operativas especificadas por el fabricante.</w:t>
            </w:r>
          </w:p>
        </w:tc>
        <w:tc>
          <w:tcPr>
            <w:tcW w:w="0" w:type="auto"/>
            <w:tcBorders>
              <w:top w:val="nil"/>
              <w:left w:val="nil"/>
              <w:bottom w:val="single" w:sz="4" w:space="0" w:color="auto"/>
              <w:right w:val="single" w:sz="4" w:space="0" w:color="auto"/>
            </w:tcBorders>
            <w:shd w:val="clear" w:color="auto" w:fill="auto"/>
            <w:noWrap/>
            <w:hideMark/>
          </w:tcPr>
          <w:p w14:paraId="56B48562"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w:t>
            </w:r>
          </w:p>
        </w:tc>
        <w:tc>
          <w:tcPr>
            <w:tcW w:w="0" w:type="auto"/>
            <w:tcBorders>
              <w:top w:val="nil"/>
              <w:left w:val="nil"/>
              <w:bottom w:val="single" w:sz="4" w:space="0" w:color="auto"/>
              <w:right w:val="single" w:sz="4" w:space="0" w:color="auto"/>
            </w:tcBorders>
            <w:shd w:val="clear" w:color="auto" w:fill="auto"/>
            <w:noWrap/>
            <w:hideMark/>
          </w:tcPr>
          <w:p w14:paraId="666DD5CB"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1EAFBABE"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569BD760"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9.870.000 </w:t>
            </w:r>
          </w:p>
        </w:tc>
        <w:tc>
          <w:tcPr>
            <w:tcW w:w="0" w:type="auto"/>
            <w:tcBorders>
              <w:top w:val="nil"/>
              <w:left w:val="nil"/>
              <w:bottom w:val="single" w:sz="4" w:space="0" w:color="auto"/>
              <w:right w:val="single" w:sz="4" w:space="0" w:color="auto"/>
            </w:tcBorders>
            <w:shd w:val="clear" w:color="auto" w:fill="auto"/>
            <w:noWrap/>
            <w:hideMark/>
          </w:tcPr>
          <w:p w14:paraId="33A25B3D"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9.870.000 </w:t>
            </w:r>
          </w:p>
        </w:tc>
      </w:tr>
      <w:tr w:rsidR="00581335" w:rsidRPr="00581335" w14:paraId="36A61157" w14:textId="77777777" w:rsidTr="00581335">
        <w:trPr>
          <w:trHeight w:val="4284"/>
        </w:trPr>
        <w:tc>
          <w:tcPr>
            <w:tcW w:w="410" w:type="dxa"/>
            <w:tcBorders>
              <w:top w:val="nil"/>
              <w:left w:val="single" w:sz="4" w:space="0" w:color="auto"/>
              <w:bottom w:val="single" w:sz="4" w:space="0" w:color="auto"/>
              <w:right w:val="single" w:sz="4" w:space="0" w:color="auto"/>
            </w:tcBorders>
            <w:shd w:val="clear" w:color="auto" w:fill="auto"/>
            <w:noWrap/>
            <w:hideMark/>
          </w:tcPr>
          <w:p w14:paraId="7E83F76A"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200</w:t>
            </w:r>
          </w:p>
        </w:tc>
        <w:tc>
          <w:tcPr>
            <w:tcW w:w="2325" w:type="dxa"/>
            <w:tcBorders>
              <w:top w:val="nil"/>
              <w:left w:val="nil"/>
              <w:bottom w:val="single" w:sz="4" w:space="0" w:color="auto"/>
              <w:right w:val="single" w:sz="4" w:space="0" w:color="auto"/>
            </w:tcBorders>
            <w:shd w:val="clear" w:color="auto" w:fill="auto"/>
            <w:hideMark/>
          </w:tcPr>
          <w:p w14:paraId="27B7A3B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Liofilizador</w:t>
            </w:r>
          </w:p>
        </w:tc>
        <w:tc>
          <w:tcPr>
            <w:tcW w:w="0" w:type="auto"/>
            <w:tcBorders>
              <w:top w:val="nil"/>
              <w:left w:val="nil"/>
              <w:bottom w:val="single" w:sz="4" w:space="0" w:color="auto"/>
              <w:right w:val="single" w:sz="4" w:space="0" w:color="auto"/>
            </w:tcBorders>
            <w:shd w:val="clear" w:color="auto" w:fill="auto"/>
            <w:hideMark/>
          </w:tcPr>
          <w:p w14:paraId="4B101684"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Liofilizador de laboratorio diseñado para la deshidratación de muestras mediante congelación y sublimación al vacío, permitiendo conservar materiales biológicos, químicos y farmacéuticos sensibles al calor. Adecuado para aplicaciones en microbiología, biotecnología, alimentos, química y ciencias farmacéuticas, facilita la preservación prolongada de microorganismos, extractos, compuestos bioactivos y muestras de investigación, </w:t>
            </w:r>
            <w:r w:rsidRPr="00581335">
              <w:rPr>
                <w:rFonts w:asciiTheme="majorHAnsi" w:eastAsia="Times New Roman" w:hAnsiTheme="majorHAnsi" w:cstheme="majorHAnsi"/>
                <w:color w:val="000000"/>
                <w:sz w:val="16"/>
                <w:szCs w:val="16"/>
                <w:lang w:eastAsia="es-PY"/>
              </w:rPr>
              <w:lastRenderedPageBreak/>
              <w:t>manteniendo su estabilidad y propiedades originales. Su sistema de secado por congelación permite obtener productos secos de alta calidad con mínima degradación estructural. El proveedor deberá realizar la entrega, instalación, puesta en marcha y verificación del correcto funcionamiento del equipo en el laboratorio designado, incluyendo la capacitación básica del personal usuario. Asimismo, deberá garantizar la disponibilidad de servicio técnico especializado, soporte postventa, provisión de repuestos originales y consumibles durante un período mínimo de cinco (5) años posteriores a la instalación. El equipo deberá contar con una garantía mínima de dos (2) años contra defectos de fabricación y funcionamiento, incluyendo mano de obra, asistencia técnica y reemplazo de componentes defectuosos sin costo adicional para la institución durante el período de garantía. El equipo será considerado recibido únicamente una vez instalado, calibrado y funcionando correctamente en las condiciones operativas especificadas por el fabricante.</w:t>
            </w:r>
          </w:p>
        </w:tc>
        <w:tc>
          <w:tcPr>
            <w:tcW w:w="0" w:type="auto"/>
            <w:tcBorders>
              <w:top w:val="nil"/>
              <w:left w:val="nil"/>
              <w:bottom w:val="single" w:sz="4" w:space="0" w:color="auto"/>
              <w:right w:val="single" w:sz="4" w:space="0" w:color="auto"/>
            </w:tcBorders>
            <w:shd w:val="clear" w:color="auto" w:fill="auto"/>
            <w:noWrap/>
            <w:hideMark/>
          </w:tcPr>
          <w:p w14:paraId="433CB5E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w:t>
            </w:r>
          </w:p>
        </w:tc>
        <w:tc>
          <w:tcPr>
            <w:tcW w:w="0" w:type="auto"/>
            <w:tcBorders>
              <w:top w:val="nil"/>
              <w:left w:val="nil"/>
              <w:bottom w:val="single" w:sz="4" w:space="0" w:color="auto"/>
              <w:right w:val="single" w:sz="4" w:space="0" w:color="auto"/>
            </w:tcBorders>
            <w:shd w:val="clear" w:color="auto" w:fill="auto"/>
            <w:noWrap/>
            <w:hideMark/>
          </w:tcPr>
          <w:p w14:paraId="0B1AFA4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24FFE802"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08745E63"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29.870.000 </w:t>
            </w:r>
          </w:p>
        </w:tc>
        <w:tc>
          <w:tcPr>
            <w:tcW w:w="0" w:type="auto"/>
            <w:tcBorders>
              <w:top w:val="nil"/>
              <w:left w:val="nil"/>
              <w:bottom w:val="single" w:sz="4" w:space="0" w:color="auto"/>
              <w:right w:val="single" w:sz="4" w:space="0" w:color="auto"/>
            </w:tcBorders>
            <w:shd w:val="clear" w:color="auto" w:fill="auto"/>
            <w:noWrap/>
            <w:hideMark/>
          </w:tcPr>
          <w:p w14:paraId="73559E47"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29.870.000 </w:t>
            </w:r>
          </w:p>
        </w:tc>
      </w:tr>
      <w:tr w:rsidR="00581335" w:rsidRPr="00581335" w14:paraId="36C13BBB" w14:textId="77777777" w:rsidTr="00581335">
        <w:trPr>
          <w:trHeight w:val="5712"/>
        </w:trPr>
        <w:tc>
          <w:tcPr>
            <w:tcW w:w="410" w:type="dxa"/>
            <w:tcBorders>
              <w:top w:val="nil"/>
              <w:left w:val="single" w:sz="4" w:space="0" w:color="auto"/>
              <w:bottom w:val="single" w:sz="4" w:space="0" w:color="auto"/>
              <w:right w:val="single" w:sz="4" w:space="0" w:color="auto"/>
            </w:tcBorders>
            <w:shd w:val="clear" w:color="auto" w:fill="auto"/>
            <w:noWrap/>
            <w:hideMark/>
          </w:tcPr>
          <w:p w14:paraId="1BF400B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201</w:t>
            </w:r>
          </w:p>
        </w:tc>
        <w:tc>
          <w:tcPr>
            <w:tcW w:w="2325" w:type="dxa"/>
            <w:tcBorders>
              <w:top w:val="nil"/>
              <w:left w:val="nil"/>
              <w:bottom w:val="single" w:sz="4" w:space="0" w:color="auto"/>
              <w:right w:val="single" w:sz="4" w:space="0" w:color="auto"/>
            </w:tcBorders>
            <w:shd w:val="clear" w:color="auto" w:fill="auto"/>
            <w:noWrap/>
            <w:hideMark/>
          </w:tcPr>
          <w:p w14:paraId="7ACC123E"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Microscopio trinocular con cámara y accesorios</w:t>
            </w:r>
          </w:p>
        </w:tc>
        <w:tc>
          <w:tcPr>
            <w:tcW w:w="0" w:type="auto"/>
            <w:tcBorders>
              <w:top w:val="nil"/>
              <w:left w:val="nil"/>
              <w:bottom w:val="single" w:sz="4" w:space="0" w:color="auto"/>
              <w:right w:val="single" w:sz="4" w:space="0" w:color="auto"/>
            </w:tcBorders>
            <w:shd w:val="clear" w:color="auto" w:fill="auto"/>
            <w:hideMark/>
          </w:tcPr>
          <w:p w14:paraId="01E4C35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diseñado para aplicaciones avanzadas de microscopía óptica en microbiología, biología molecular, histología, citología y ciencias biomédicas. Cuenta con cabezal trinocular rotatorio, óptica corregida al infinito y sistema de iluminación LED con ajuste Köhler para obtener imágenes de alta definición y contraste uniforme. Incorpora objetivos plan acromáticos de diferentes aumentos y sistema de protección antihongos en todo el trayecto óptico. Posee platina mecánica de precisión, mandos coaxiales macro y micrométricos y condensador compatible con accesorios para contraste de fase y campo oscuro. El equipo incluye cámara digital de alta resolución para captura de imágenes y video en 4K, software de procesamiento y análisis, funciones de medición y recuento, además de accesorios para contraste de fase, objetivos especializados, aceite de inmersión, adaptador de cámara y sistema de visualización mediante monitor y computadora portátil. Adecuado para documentación científica, diagnóstico, investigación y actividades de formación académica en laboratorio. El proveedor deberá realizar la entrega, instalación, puesta en marcha y verificación del correcto funcionamiento del equipo en el laboratorio designado, incluyendo la capacitación básica del personal usuario. Asimismo, deberá garantizar la disponibilidad de servicio técnico especializado, soporte postventa, provisión de repuestos originales y consumibles durante un período mínimo de </w:t>
            </w:r>
            <w:r w:rsidRPr="00581335">
              <w:rPr>
                <w:rFonts w:asciiTheme="majorHAnsi" w:eastAsia="Times New Roman" w:hAnsiTheme="majorHAnsi" w:cstheme="majorHAnsi"/>
                <w:color w:val="000000"/>
                <w:sz w:val="16"/>
                <w:szCs w:val="16"/>
                <w:lang w:eastAsia="es-PY"/>
              </w:rPr>
              <w:lastRenderedPageBreak/>
              <w:t>cinco (5) años posteriores a la instalación. El equipo deberá contar con una garantía mínima de dos (2) años contra defectos de fabricación y funcionamiento, incluyendo mano de obra, asistencia técnica y reemplazo de componentes defectuosos sin costo adicional para la institución durante el período de garantía. El equipo será considerado recibido únicamente una vez instalado, calibrado y funcionando correctamente en las condiciones operativas especificadas por el fabricante.</w:t>
            </w:r>
          </w:p>
        </w:tc>
        <w:tc>
          <w:tcPr>
            <w:tcW w:w="0" w:type="auto"/>
            <w:tcBorders>
              <w:top w:val="nil"/>
              <w:left w:val="nil"/>
              <w:bottom w:val="single" w:sz="4" w:space="0" w:color="auto"/>
              <w:right w:val="single" w:sz="4" w:space="0" w:color="auto"/>
            </w:tcBorders>
            <w:shd w:val="clear" w:color="auto" w:fill="auto"/>
            <w:noWrap/>
            <w:hideMark/>
          </w:tcPr>
          <w:p w14:paraId="4026D352"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w:t>
            </w:r>
          </w:p>
        </w:tc>
        <w:tc>
          <w:tcPr>
            <w:tcW w:w="0" w:type="auto"/>
            <w:tcBorders>
              <w:top w:val="nil"/>
              <w:left w:val="nil"/>
              <w:bottom w:val="single" w:sz="4" w:space="0" w:color="auto"/>
              <w:right w:val="single" w:sz="4" w:space="0" w:color="auto"/>
            </w:tcBorders>
            <w:shd w:val="clear" w:color="auto" w:fill="auto"/>
            <w:noWrap/>
            <w:hideMark/>
          </w:tcPr>
          <w:p w14:paraId="2C85CE27"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2442851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26F86B72"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78.000.000 </w:t>
            </w:r>
          </w:p>
        </w:tc>
        <w:tc>
          <w:tcPr>
            <w:tcW w:w="0" w:type="auto"/>
            <w:tcBorders>
              <w:top w:val="nil"/>
              <w:left w:val="nil"/>
              <w:bottom w:val="single" w:sz="4" w:space="0" w:color="auto"/>
              <w:right w:val="single" w:sz="4" w:space="0" w:color="auto"/>
            </w:tcBorders>
            <w:shd w:val="clear" w:color="auto" w:fill="auto"/>
            <w:noWrap/>
            <w:hideMark/>
          </w:tcPr>
          <w:p w14:paraId="233EAEB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78.000.000 </w:t>
            </w:r>
          </w:p>
        </w:tc>
      </w:tr>
      <w:tr w:rsidR="00581335" w:rsidRPr="00581335" w14:paraId="655436E9" w14:textId="77777777" w:rsidTr="00581335">
        <w:trPr>
          <w:trHeight w:val="5508"/>
        </w:trPr>
        <w:tc>
          <w:tcPr>
            <w:tcW w:w="410" w:type="dxa"/>
            <w:tcBorders>
              <w:top w:val="nil"/>
              <w:left w:val="single" w:sz="4" w:space="0" w:color="auto"/>
              <w:bottom w:val="single" w:sz="4" w:space="0" w:color="auto"/>
              <w:right w:val="single" w:sz="4" w:space="0" w:color="auto"/>
            </w:tcBorders>
            <w:shd w:val="clear" w:color="auto" w:fill="auto"/>
            <w:noWrap/>
            <w:hideMark/>
          </w:tcPr>
          <w:p w14:paraId="2E1D56F1"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202</w:t>
            </w:r>
          </w:p>
        </w:tc>
        <w:tc>
          <w:tcPr>
            <w:tcW w:w="2325" w:type="dxa"/>
            <w:tcBorders>
              <w:top w:val="nil"/>
              <w:left w:val="nil"/>
              <w:bottom w:val="single" w:sz="4" w:space="0" w:color="auto"/>
              <w:right w:val="single" w:sz="4" w:space="0" w:color="auto"/>
            </w:tcBorders>
            <w:shd w:val="clear" w:color="auto" w:fill="auto"/>
            <w:noWrap/>
            <w:hideMark/>
          </w:tcPr>
          <w:p w14:paraId="369D2582"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Estereomicroscopio trinocular con cámara</w:t>
            </w:r>
          </w:p>
        </w:tc>
        <w:tc>
          <w:tcPr>
            <w:tcW w:w="0" w:type="auto"/>
            <w:tcBorders>
              <w:top w:val="nil"/>
              <w:left w:val="nil"/>
              <w:bottom w:val="single" w:sz="4" w:space="0" w:color="auto"/>
              <w:right w:val="single" w:sz="4" w:space="0" w:color="auto"/>
            </w:tcBorders>
            <w:shd w:val="clear" w:color="auto" w:fill="auto"/>
            <w:hideMark/>
          </w:tcPr>
          <w:p w14:paraId="45B4AA6B"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diseñado para la observación tridimensional de muestras con alto contraste y profundidad de campo, adecuado para aplicaciones en biología, microbiología, entomología, botánica, control de calidad y análisis de materiales. Cuenta con sistema óptico apocromático y cabezal trinocular con puerto para incorporación de cámara digital, permitiendo captura y procesamiento de imágenes en tiempo real. Posee sistema de zoom continuo, iluminación LED incidente y transmitida para campo claro y campo oscuro, así como amplia distancia de trabajo que facilita la manipulación de muestras sin preparación compleja. Incluye cámara digital de alta resolución con capacidad de captura y visualización 4K, funciones de mejora de imagen, medición y anotación, compatible con software especializado y operación independiente mediante conexión inalámbrica y monitor externo. El sistema </w:t>
            </w:r>
            <w:r w:rsidRPr="00581335">
              <w:rPr>
                <w:rFonts w:asciiTheme="majorHAnsi" w:eastAsia="Times New Roman" w:hAnsiTheme="majorHAnsi" w:cstheme="majorHAnsi"/>
                <w:color w:val="000000"/>
                <w:sz w:val="16"/>
                <w:szCs w:val="16"/>
                <w:lang w:eastAsia="es-PY"/>
              </w:rPr>
              <w:lastRenderedPageBreak/>
              <w:t>permite documentación fotográfica, análisis morfológico y enseñanza en laboratorios de investigación y docencia. El proveedor deberá realizar la entrega, instalación, puesta en marcha y verificación del correcto funcionamiento del equipo en el laboratorio designado, incluyendo la capacitación básica del personal usuario. Asimismo, deberá garantizar la disponibilidad de servicio técnico especializado, soporte postventa, provisión de repuestos originales y consumibles durante un período mínimo de cinco (5) años posteriores a la instalación. El equipo deberá contar con una garantía mínima de dos (2) años contra defectos de fabricación y funcionamiento, incluyendo mano de obra, asistencia técnica y reemplazo de componentes defectuosos sin costo adicional para la institución durante el período de garantía. El equipo será considerado recibido únicamente una vez instalado, calibrado y funcionando correctamente en las condiciones operativas especificadas por el fabricante.</w:t>
            </w:r>
          </w:p>
        </w:tc>
        <w:tc>
          <w:tcPr>
            <w:tcW w:w="0" w:type="auto"/>
            <w:tcBorders>
              <w:top w:val="nil"/>
              <w:left w:val="nil"/>
              <w:bottom w:val="single" w:sz="4" w:space="0" w:color="auto"/>
              <w:right w:val="single" w:sz="4" w:space="0" w:color="auto"/>
            </w:tcBorders>
            <w:shd w:val="clear" w:color="auto" w:fill="auto"/>
            <w:noWrap/>
            <w:hideMark/>
          </w:tcPr>
          <w:p w14:paraId="3EFA9B92"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w:t>
            </w:r>
          </w:p>
        </w:tc>
        <w:tc>
          <w:tcPr>
            <w:tcW w:w="0" w:type="auto"/>
            <w:tcBorders>
              <w:top w:val="nil"/>
              <w:left w:val="nil"/>
              <w:bottom w:val="single" w:sz="4" w:space="0" w:color="auto"/>
              <w:right w:val="single" w:sz="4" w:space="0" w:color="auto"/>
            </w:tcBorders>
            <w:shd w:val="clear" w:color="auto" w:fill="auto"/>
            <w:noWrap/>
            <w:hideMark/>
          </w:tcPr>
          <w:p w14:paraId="2F2EFB91"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3875C71D"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19646A6C"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57.000.000 </w:t>
            </w:r>
          </w:p>
        </w:tc>
        <w:tc>
          <w:tcPr>
            <w:tcW w:w="0" w:type="auto"/>
            <w:tcBorders>
              <w:top w:val="nil"/>
              <w:left w:val="nil"/>
              <w:bottom w:val="single" w:sz="4" w:space="0" w:color="auto"/>
              <w:right w:val="single" w:sz="4" w:space="0" w:color="auto"/>
            </w:tcBorders>
            <w:shd w:val="clear" w:color="auto" w:fill="auto"/>
            <w:noWrap/>
            <w:hideMark/>
          </w:tcPr>
          <w:p w14:paraId="3C535E44"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57.000.000 </w:t>
            </w:r>
          </w:p>
        </w:tc>
      </w:tr>
      <w:tr w:rsidR="00581335" w:rsidRPr="00581335" w14:paraId="7469F543" w14:textId="77777777" w:rsidTr="00581335">
        <w:trPr>
          <w:trHeight w:val="4692"/>
        </w:trPr>
        <w:tc>
          <w:tcPr>
            <w:tcW w:w="410" w:type="dxa"/>
            <w:tcBorders>
              <w:top w:val="nil"/>
              <w:left w:val="single" w:sz="4" w:space="0" w:color="auto"/>
              <w:bottom w:val="single" w:sz="4" w:space="0" w:color="auto"/>
              <w:right w:val="single" w:sz="4" w:space="0" w:color="auto"/>
            </w:tcBorders>
            <w:shd w:val="clear" w:color="auto" w:fill="auto"/>
            <w:noWrap/>
            <w:hideMark/>
          </w:tcPr>
          <w:p w14:paraId="6ACB6B2C"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203</w:t>
            </w:r>
          </w:p>
        </w:tc>
        <w:tc>
          <w:tcPr>
            <w:tcW w:w="2325" w:type="dxa"/>
            <w:tcBorders>
              <w:top w:val="nil"/>
              <w:left w:val="nil"/>
              <w:bottom w:val="single" w:sz="4" w:space="0" w:color="auto"/>
              <w:right w:val="single" w:sz="4" w:space="0" w:color="auto"/>
            </w:tcBorders>
            <w:shd w:val="clear" w:color="auto" w:fill="auto"/>
            <w:noWrap/>
            <w:hideMark/>
          </w:tcPr>
          <w:p w14:paraId="18DB71B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Reactor Hidrotermal de 25 mL</w:t>
            </w:r>
          </w:p>
        </w:tc>
        <w:tc>
          <w:tcPr>
            <w:tcW w:w="0" w:type="auto"/>
            <w:tcBorders>
              <w:top w:val="nil"/>
              <w:left w:val="nil"/>
              <w:bottom w:val="single" w:sz="4" w:space="0" w:color="auto"/>
              <w:right w:val="single" w:sz="4" w:space="0" w:color="auto"/>
            </w:tcBorders>
            <w:shd w:val="clear" w:color="auto" w:fill="auto"/>
            <w:hideMark/>
          </w:tcPr>
          <w:p w14:paraId="35A667B3"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Reactor de síntesis hidrotermal con capacidad de trabajo de 25 mL, diseñado para la realización de reacciones químicas bajo condiciones controladas de alta temperatura y presión. Fabricado con cuerpo externo de acero inoxidable de alta resistencia mecánica y revestimiento interno de politetrafluoroetileno (PTFE o teflón), material químicamente inerte que permite trabajar con una amplia variedad de reactivos corrosivos, ácidos, bases y soluciones orgánicas sin riesgo de </w:t>
            </w:r>
            <w:r w:rsidRPr="00581335">
              <w:rPr>
                <w:rFonts w:asciiTheme="majorHAnsi" w:eastAsia="Times New Roman" w:hAnsiTheme="majorHAnsi" w:cstheme="majorHAnsi"/>
                <w:color w:val="000000"/>
                <w:sz w:val="16"/>
                <w:szCs w:val="16"/>
                <w:lang w:eastAsia="es-PY"/>
              </w:rPr>
              <w:lastRenderedPageBreak/>
              <w:t>contaminación de las muestras.El equipo está especialmente indicado para aplicaciones de síntesis de materiales avanzados, nanomateriales, óxidos metálicos, zeolitas, materiales porosos, compuestos cerámicos, biomateriales y otros procesos de investigación y desarrollo que requieran condiciones hidrotermales o solvotermales. Su diseño hermético garantiza una distribución uniforme de la temperatura y una elevada seguridad durante la operación.Posee sistema de cierre mediante tapa roscada de alta resistencia, adecuado para su utilización en hornos de laboratorio o estufas de calentamiento, permitiendo alcanzar temperaturas elevadas de reacción conforme a las especificaciones del fabricante. El recipiente interno desmontable facilita la carga de reactivos, la recuperación de productos y las tareas de limpieza y mantenimiento.Adecuado para laboratorios de química, ciencia de materiales, nanotecnología, biotecnología, ingeniería química, investigación académica y centros de desarrollo tecnológico. Incluye los accesorios necesarios para su correcto funcionamiento y puesta en servicio.</w:t>
            </w:r>
          </w:p>
        </w:tc>
        <w:tc>
          <w:tcPr>
            <w:tcW w:w="0" w:type="auto"/>
            <w:tcBorders>
              <w:top w:val="nil"/>
              <w:left w:val="nil"/>
              <w:bottom w:val="single" w:sz="4" w:space="0" w:color="auto"/>
              <w:right w:val="single" w:sz="4" w:space="0" w:color="auto"/>
            </w:tcBorders>
            <w:shd w:val="clear" w:color="auto" w:fill="auto"/>
            <w:noWrap/>
            <w:hideMark/>
          </w:tcPr>
          <w:p w14:paraId="4BE51F4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2</w:t>
            </w:r>
          </w:p>
        </w:tc>
        <w:tc>
          <w:tcPr>
            <w:tcW w:w="0" w:type="auto"/>
            <w:tcBorders>
              <w:top w:val="nil"/>
              <w:left w:val="nil"/>
              <w:bottom w:val="single" w:sz="4" w:space="0" w:color="auto"/>
              <w:right w:val="single" w:sz="4" w:space="0" w:color="auto"/>
            </w:tcBorders>
            <w:shd w:val="clear" w:color="auto" w:fill="auto"/>
            <w:noWrap/>
            <w:hideMark/>
          </w:tcPr>
          <w:p w14:paraId="2FEE048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5930235A"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26C92703"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1.680.000 </w:t>
            </w:r>
          </w:p>
        </w:tc>
        <w:tc>
          <w:tcPr>
            <w:tcW w:w="0" w:type="auto"/>
            <w:tcBorders>
              <w:top w:val="nil"/>
              <w:left w:val="nil"/>
              <w:bottom w:val="single" w:sz="4" w:space="0" w:color="auto"/>
              <w:right w:val="single" w:sz="4" w:space="0" w:color="auto"/>
            </w:tcBorders>
            <w:shd w:val="clear" w:color="auto" w:fill="auto"/>
            <w:noWrap/>
            <w:hideMark/>
          </w:tcPr>
          <w:p w14:paraId="0DEA667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1.680.000 </w:t>
            </w:r>
          </w:p>
        </w:tc>
      </w:tr>
      <w:tr w:rsidR="00581335" w:rsidRPr="00581335" w14:paraId="397FCCEA" w14:textId="77777777" w:rsidTr="00581335">
        <w:trPr>
          <w:trHeight w:val="5304"/>
        </w:trPr>
        <w:tc>
          <w:tcPr>
            <w:tcW w:w="410" w:type="dxa"/>
            <w:tcBorders>
              <w:top w:val="nil"/>
              <w:left w:val="single" w:sz="4" w:space="0" w:color="auto"/>
              <w:bottom w:val="single" w:sz="4" w:space="0" w:color="auto"/>
              <w:right w:val="single" w:sz="4" w:space="0" w:color="auto"/>
            </w:tcBorders>
            <w:shd w:val="clear" w:color="auto" w:fill="auto"/>
            <w:noWrap/>
            <w:hideMark/>
          </w:tcPr>
          <w:p w14:paraId="1FF30C3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204</w:t>
            </w:r>
          </w:p>
        </w:tc>
        <w:tc>
          <w:tcPr>
            <w:tcW w:w="2325" w:type="dxa"/>
            <w:tcBorders>
              <w:top w:val="nil"/>
              <w:left w:val="nil"/>
              <w:bottom w:val="single" w:sz="4" w:space="0" w:color="auto"/>
              <w:right w:val="single" w:sz="4" w:space="0" w:color="auto"/>
            </w:tcBorders>
            <w:shd w:val="clear" w:color="auto" w:fill="auto"/>
            <w:noWrap/>
            <w:hideMark/>
          </w:tcPr>
          <w:p w14:paraId="4A288401"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Contador de colonias</w:t>
            </w:r>
          </w:p>
        </w:tc>
        <w:tc>
          <w:tcPr>
            <w:tcW w:w="0" w:type="auto"/>
            <w:tcBorders>
              <w:top w:val="nil"/>
              <w:left w:val="nil"/>
              <w:bottom w:val="single" w:sz="4" w:space="0" w:color="auto"/>
              <w:right w:val="single" w:sz="4" w:space="0" w:color="auto"/>
            </w:tcBorders>
            <w:shd w:val="clear" w:color="auto" w:fill="auto"/>
            <w:hideMark/>
          </w:tcPr>
          <w:p w14:paraId="0F5CF50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Equipo diseñado para el recuento rápido y preciso de colonias microbianas desarrolladas en placas de Petri, adecuado para laboratorios de microbiología, control de calidad, alimentos, aguas y análisis clínicos. Permite realizar el conteo en placas abiertas o cerradas mediante una sonda electrónica sensible que registra automáticamente cada pulsación en un contador digital de alta visibilidad. Incorpora una plataforma de soporte tipo bandeja fabricada en material acrílico transparente con cuadrícula de referencia, facilitando la localización y enumeración de colonias. Dispone de sistema de memoria interna con capacidad para almacenar múltiples registros de conteo, permitiendo la gestión y recuperación de resultados de numerosas muestras. Su estructura compacta y resistente está fabricada en material polimérico de alta durabilidad, adecuada para el uso rutinario en laboratorios de investigación, diagnóstico y control microbiológico.  El proveedor deberá realizar la entrega, instalación, puesta en marcha y verificación del correcto funcionamiento del equipo en el laboratorio designado, incluyendo la capacitación básica del personal usuario. Asimismo, deberá garantizar la disponibilidad de servicio técnico especializado, soporte postventa, provisión de repuestos originales y consumibles durante un período mínimo de cinco (5) años posteriores a la instalación. El equipo deberá contar con una garantía mínima de dos (2) años contra defectos de fabricación y funcionamiento, </w:t>
            </w:r>
            <w:r w:rsidRPr="00581335">
              <w:rPr>
                <w:rFonts w:asciiTheme="majorHAnsi" w:eastAsia="Times New Roman" w:hAnsiTheme="majorHAnsi" w:cstheme="majorHAnsi"/>
                <w:color w:val="000000"/>
                <w:sz w:val="16"/>
                <w:szCs w:val="16"/>
                <w:lang w:eastAsia="es-PY"/>
              </w:rPr>
              <w:lastRenderedPageBreak/>
              <w:t>incluyendo mano de obra, asistencia técnica y reemplazo de componentes defectuosos sin costo adicional para la institución durante el período de garantía. El equipo será considerado recibido únicamente una vez instalado, calibrado y funcionando correctamente en las condiciones operativas especificadas por el fabricante.</w:t>
            </w:r>
          </w:p>
        </w:tc>
        <w:tc>
          <w:tcPr>
            <w:tcW w:w="0" w:type="auto"/>
            <w:tcBorders>
              <w:top w:val="nil"/>
              <w:left w:val="nil"/>
              <w:bottom w:val="single" w:sz="4" w:space="0" w:color="auto"/>
              <w:right w:val="single" w:sz="4" w:space="0" w:color="auto"/>
            </w:tcBorders>
            <w:shd w:val="clear" w:color="auto" w:fill="auto"/>
            <w:noWrap/>
            <w:hideMark/>
          </w:tcPr>
          <w:p w14:paraId="7C30DF23"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w:t>
            </w:r>
          </w:p>
        </w:tc>
        <w:tc>
          <w:tcPr>
            <w:tcW w:w="0" w:type="auto"/>
            <w:tcBorders>
              <w:top w:val="nil"/>
              <w:left w:val="nil"/>
              <w:bottom w:val="single" w:sz="4" w:space="0" w:color="auto"/>
              <w:right w:val="single" w:sz="4" w:space="0" w:color="auto"/>
            </w:tcBorders>
            <w:shd w:val="clear" w:color="auto" w:fill="auto"/>
            <w:noWrap/>
            <w:hideMark/>
          </w:tcPr>
          <w:p w14:paraId="79ED3A7F"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1CEA12D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5AE1DA4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8.575.000 </w:t>
            </w:r>
          </w:p>
        </w:tc>
        <w:tc>
          <w:tcPr>
            <w:tcW w:w="0" w:type="auto"/>
            <w:tcBorders>
              <w:top w:val="nil"/>
              <w:left w:val="nil"/>
              <w:bottom w:val="single" w:sz="4" w:space="0" w:color="auto"/>
              <w:right w:val="single" w:sz="4" w:space="0" w:color="auto"/>
            </w:tcBorders>
            <w:shd w:val="clear" w:color="auto" w:fill="auto"/>
            <w:noWrap/>
            <w:hideMark/>
          </w:tcPr>
          <w:p w14:paraId="257FF8FD"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8.575.000 </w:t>
            </w:r>
          </w:p>
        </w:tc>
      </w:tr>
      <w:tr w:rsidR="00581335" w:rsidRPr="00581335" w14:paraId="799CEA2F" w14:textId="77777777" w:rsidTr="00581335">
        <w:trPr>
          <w:trHeight w:val="4080"/>
        </w:trPr>
        <w:tc>
          <w:tcPr>
            <w:tcW w:w="410" w:type="dxa"/>
            <w:tcBorders>
              <w:top w:val="nil"/>
              <w:left w:val="single" w:sz="4" w:space="0" w:color="auto"/>
              <w:bottom w:val="single" w:sz="4" w:space="0" w:color="auto"/>
              <w:right w:val="single" w:sz="4" w:space="0" w:color="auto"/>
            </w:tcBorders>
            <w:shd w:val="clear" w:color="auto" w:fill="auto"/>
            <w:noWrap/>
            <w:hideMark/>
          </w:tcPr>
          <w:p w14:paraId="76E5000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205</w:t>
            </w:r>
          </w:p>
        </w:tc>
        <w:tc>
          <w:tcPr>
            <w:tcW w:w="2325" w:type="dxa"/>
            <w:tcBorders>
              <w:top w:val="nil"/>
              <w:left w:val="nil"/>
              <w:bottom w:val="single" w:sz="4" w:space="0" w:color="auto"/>
              <w:right w:val="single" w:sz="4" w:space="0" w:color="auto"/>
            </w:tcBorders>
            <w:shd w:val="clear" w:color="auto" w:fill="auto"/>
            <w:noWrap/>
            <w:hideMark/>
          </w:tcPr>
          <w:p w14:paraId="4A3EF04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Lector multimodo de microplacas con capacidad de medición por absorbancia, fluorescencia y luminiscencia</w:t>
            </w:r>
          </w:p>
        </w:tc>
        <w:tc>
          <w:tcPr>
            <w:tcW w:w="0" w:type="auto"/>
            <w:tcBorders>
              <w:top w:val="nil"/>
              <w:left w:val="nil"/>
              <w:bottom w:val="single" w:sz="4" w:space="0" w:color="auto"/>
              <w:right w:val="single" w:sz="4" w:space="0" w:color="auto"/>
            </w:tcBorders>
            <w:shd w:val="clear" w:color="auto" w:fill="auto"/>
            <w:hideMark/>
          </w:tcPr>
          <w:p w14:paraId="6B947E4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Lector multimodo de microplacas de alto rendimiento, diseñado para aplicaciones de investigación en ciencias biológicas, biotecnología, microbiología, biología molecular, farmacología y diagnóstico, con capacidad para realizar mediciones de absorbancia UV-Visible, fluorescencia, luminiscencia y fluorescencia resuelta en el tiempo, equipado con selección flexible de longitudes de onda mediante monocromadores, escaneo espectral, incubación con control de temperatura, agitación orbital integrada, autocalibración, autodiagnóstico, control automático del rango dinámico de lectura, software de adquisición y análisis de datos, y compatibilidad con microplacas de diferentes formatos. El equipo deberá suministrarse con todos los accesorios, licencias y componentes necesarios para su operación, incluyendo instalación, puesta en marcha, verificación de funcionamiento y capacitación básica para los usuarios. El proveedor deberá </w:t>
            </w:r>
            <w:r w:rsidRPr="00581335">
              <w:rPr>
                <w:rFonts w:asciiTheme="majorHAnsi" w:eastAsia="Times New Roman" w:hAnsiTheme="majorHAnsi" w:cstheme="majorHAnsi"/>
                <w:color w:val="000000"/>
                <w:sz w:val="16"/>
                <w:szCs w:val="16"/>
                <w:lang w:eastAsia="es-PY"/>
              </w:rPr>
              <w:lastRenderedPageBreak/>
              <w:t>garantizar la disponibilidad de servicio técnico especializado, soporte postventa y provisión de repuestos durante la vida útil del equipo, así como otorgar una garantía mínima de dos (2) años contra defectos de fabricación, instalación o funcionamiento, asegurando la reparación o sustitución de componentes defectuosos sin costo adicional para la institución. Contar con Acreditación Vigente, como Laboratorio de Calibración conforme a la Norma NPISO/IEC17025:2018 o la Norma ISO/IEC 17025:2017</w:t>
            </w:r>
          </w:p>
        </w:tc>
        <w:tc>
          <w:tcPr>
            <w:tcW w:w="0" w:type="auto"/>
            <w:tcBorders>
              <w:top w:val="nil"/>
              <w:left w:val="nil"/>
              <w:bottom w:val="single" w:sz="4" w:space="0" w:color="auto"/>
              <w:right w:val="single" w:sz="4" w:space="0" w:color="auto"/>
            </w:tcBorders>
            <w:shd w:val="clear" w:color="auto" w:fill="auto"/>
            <w:noWrap/>
            <w:hideMark/>
          </w:tcPr>
          <w:p w14:paraId="3ABD4342"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w:t>
            </w:r>
          </w:p>
        </w:tc>
        <w:tc>
          <w:tcPr>
            <w:tcW w:w="0" w:type="auto"/>
            <w:tcBorders>
              <w:top w:val="nil"/>
              <w:left w:val="nil"/>
              <w:bottom w:val="single" w:sz="4" w:space="0" w:color="auto"/>
              <w:right w:val="single" w:sz="4" w:space="0" w:color="auto"/>
            </w:tcBorders>
            <w:shd w:val="clear" w:color="auto" w:fill="auto"/>
            <w:noWrap/>
            <w:hideMark/>
          </w:tcPr>
          <w:p w14:paraId="09CA1053"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27E0EF5C"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7B4B6087"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275.000.000 </w:t>
            </w:r>
          </w:p>
        </w:tc>
        <w:tc>
          <w:tcPr>
            <w:tcW w:w="0" w:type="auto"/>
            <w:tcBorders>
              <w:top w:val="nil"/>
              <w:left w:val="nil"/>
              <w:bottom w:val="single" w:sz="4" w:space="0" w:color="auto"/>
              <w:right w:val="single" w:sz="4" w:space="0" w:color="auto"/>
            </w:tcBorders>
            <w:shd w:val="clear" w:color="auto" w:fill="auto"/>
            <w:noWrap/>
            <w:hideMark/>
          </w:tcPr>
          <w:p w14:paraId="15C31F8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275.000.000 </w:t>
            </w:r>
          </w:p>
        </w:tc>
      </w:tr>
      <w:tr w:rsidR="00581335" w:rsidRPr="00581335" w14:paraId="037C6FE0" w14:textId="77777777" w:rsidTr="00581335">
        <w:trPr>
          <w:trHeight w:val="3876"/>
        </w:trPr>
        <w:tc>
          <w:tcPr>
            <w:tcW w:w="410" w:type="dxa"/>
            <w:tcBorders>
              <w:top w:val="nil"/>
              <w:left w:val="single" w:sz="4" w:space="0" w:color="auto"/>
              <w:bottom w:val="single" w:sz="4" w:space="0" w:color="auto"/>
              <w:right w:val="single" w:sz="4" w:space="0" w:color="auto"/>
            </w:tcBorders>
            <w:shd w:val="clear" w:color="auto" w:fill="auto"/>
            <w:noWrap/>
            <w:hideMark/>
          </w:tcPr>
          <w:p w14:paraId="13D1081C"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206</w:t>
            </w:r>
          </w:p>
        </w:tc>
        <w:tc>
          <w:tcPr>
            <w:tcW w:w="2325" w:type="dxa"/>
            <w:tcBorders>
              <w:top w:val="nil"/>
              <w:left w:val="nil"/>
              <w:bottom w:val="single" w:sz="4" w:space="0" w:color="auto"/>
              <w:right w:val="single" w:sz="4" w:space="0" w:color="auto"/>
            </w:tcBorders>
            <w:shd w:val="clear" w:color="auto" w:fill="auto"/>
            <w:hideMark/>
          </w:tcPr>
          <w:p w14:paraId="5530D78A"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Lector de placas multipocillos</w:t>
            </w:r>
          </w:p>
        </w:tc>
        <w:tc>
          <w:tcPr>
            <w:tcW w:w="0" w:type="auto"/>
            <w:tcBorders>
              <w:top w:val="nil"/>
              <w:left w:val="nil"/>
              <w:bottom w:val="single" w:sz="4" w:space="0" w:color="auto"/>
              <w:right w:val="single" w:sz="4" w:space="0" w:color="auto"/>
            </w:tcBorders>
            <w:shd w:val="clear" w:color="auto" w:fill="auto"/>
            <w:hideMark/>
          </w:tcPr>
          <w:p w14:paraId="4DC999E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Espectrofotómetro multiscan para placas multipocillos, diseñado para la lectura y análisis de absorbancia en microplacas de 96 pocillos con incubación, ideal para ensayos de ELISA, cuantificación de ácidos nucleicos y proteínas, análisis enzimáticos y otros procedimientos de diagnóstico e investigación. Equipado con sistema óptico de alta precisión y lámparas o LEDs que cubren un amplio rango espectral (generalmente de 200 a 1.000 nm), permite seleccionar longitudes de onda específicas para adaptarse a distintos protocolos.Con bandeja motorizada para carga automática de la placa, detector de alta sensibilidad y software de control que facilita la configuración de métodos, almacenamiento de datos y exportación de resultados. Su diseño asegura lecturas rápidas, uniformes y reproducibles en todos los pocillos, minimizando la variabilidad entre muestras.Es compatible con placas de fondo plano, redondo o en “U” incluir funciones adicionales como </w:t>
            </w:r>
            <w:r w:rsidRPr="00581335">
              <w:rPr>
                <w:rFonts w:asciiTheme="majorHAnsi" w:eastAsia="Times New Roman" w:hAnsiTheme="majorHAnsi" w:cstheme="majorHAnsi"/>
                <w:color w:val="000000"/>
                <w:sz w:val="16"/>
                <w:szCs w:val="16"/>
                <w:lang w:eastAsia="es-PY"/>
              </w:rPr>
              <w:lastRenderedPageBreak/>
              <w:t>lectura cinética, mediciones punto final, análisis multionda y control de temperatura para ensayos que lo requieran. Incluye instalación y puesta a punto en el lugar de uso, capacitación para operación y mantenimiento preventivo, y garantía de 2 años a partir de la puesta en operación, garantizando un funcionamiento confiable y soporte técnico posventa. Incluye filtros de 200 a 400 nm, 400 a 700 nm y 700 a 1000 nm</w:t>
            </w:r>
          </w:p>
        </w:tc>
        <w:tc>
          <w:tcPr>
            <w:tcW w:w="0" w:type="auto"/>
            <w:tcBorders>
              <w:top w:val="nil"/>
              <w:left w:val="nil"/>
              <w:bottom w:val="single" w:sz="4" w:space="0" w:color="auto"/>
              <w:right w:val="single" w:sz="4" w:space="0" w:color="auto"/>
            </w:tcBorders>
            <w:shd w:val="clear" w:color="auto" w:fill="auto"/>
            <w:noWrap/>
            <w:hideMark/>
          </w:tcPr>
          <w:p w14:paraId="4A222BC7"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1</w:t>
            </w:r>
          </w:p>
        </w:tc>
        <w:tc>
          <w:tcPr>
            <w:tcW w:w="0" w:type="auto"/>
            <w:tcBorders>
              <w:top w:val="nil"/>
              <w:left w:val="nil"/>
              <w:bottom w:val="single" w:sz="4" w:space="0" w:color="auto"/>
              <w:right w:val="single" w:sz="4" w:space="0" w:color="auto"/>
            </w:tcBorders>
            <w:shd w:val="clear" w:color="auto" w:fill="auto"/>
            <w:noWrap/>
            <w:hideMark/>
          </w:tcPr>
          <w:p w14:paraId="1BF64A9C"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529909EE"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541EBF5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104.950.000 </w:t>
            </w:r>
          </w:p>
        </w:tc>
        <w:tc>
          <w:tcPr>
            <w:tcW w:w="0" w:type="auto"/>
            <w:tcBorders>
              <w:top w:val="nil"/>
              <w:left w:val="nil"/>
              <w:bottom w:val="single" w:sz="4" w:space="0" w:color="auto"/>
              <w:right w:val="single" w:sz="4" w:space="0" w:color="auto"/>
            </w:tcBorders>
            <w:shd w:val="clear" w:color="auto" w:fill="auto"/>
            <w:noWrap/>
            <w:hideMark/>
          </w:tcPr>
          <w:p w14:paraId="3A9F11D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104.950.000 </w:t>
            </w:r>
          </w:p>
        </w:tc>
      </w:tr>
      <w:tr w:rsidR="00581335" w:rsidRPr="00581335" w14:paraId="6ABA3327" w14:textId="77777777" w:rsidTr="00581335">
        <w:trPr>
          <w:trHeight w:val="2856"/>
        </w:trPr>
        <w:tc>
          <w:tcPr>
            <w:tcW w:w="410" w:type="dxa"/>
            <w:tcBorders>
              <w:top w:val="nil"/>
              <w:left w:val="single" w:sz="4" w:space="0" w:color="auto"/>
              <w:bottom w:val="single" w:sz="4" w:space="0" w:color="auto"/>
              <w:right w:val="single" w:sz="4" w:space="0" w:color="auto"/>
            </w:tcBorders>
            <w:shd w:val="clear" w:color="auto" w:fill="auto"/>
            <w:noWrap/>
            <w:hideMark/>
          </w:tcPr>
          <w:p w14:paraId="57DCA723"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207</w:t>
            </w:r>
          </w:p>
        </w:tc>
        <w:tc>
          <w:tcPr>
            <w:tcW w:w="2325" w:type="dxa"/>
            <w:tcBorders>
              <w:top w:val="nil"/>
              <w:left w:val="nil"/>
              <w:bottom w:val="single" w:sz="4" w:space="0" w:color="auto"/>
              <w:right w:val="single" w:sz="4" w:space="0" w:color="auto"/>
            </w:tcBorders>
            <w:shd w:val="clear" w:color="auto" w:fill="auto"/>
            <w:hideMark/>
          </w:tcPr>
          <w:p w14:paraId="4704BD7C"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Aire acondicionado tipo split de pared con capacidad nominal de 12.000 BTU/h</w:t>
            </w:r>
          </w:p>
        </w:tc>
        <w:tc>
          <w:tcPr>
            <w:tcW w:w="0" w:type="auto"/>
            <w:tcBorders>
              <w:top w:val="nil"/>
              <w:left w:val="nil"/>
              <w:bottom w:val="single" w:sz="4" w:space="0" w:color="auto"/>
              <w:right w:val="single" w:sz="4" w:space="0" w:color="auto"/>
            </w:tcBorders>
            <w:shd w:val="clear" w:color="auto" w:fill="auto"/>
            <w:hideMark/>
          </w:tcPr>
          <w:p w14:paraId="1BE61ABC"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Aire acondicionado tipo split de pared con capacidad nominal de 12.000 BTU/h, diseñado para la climatización eficiente de oficinas, laboratorios y ambientes interiores, equipado con funciones de refrigeración, ventilación y deshumidificación, control remoto inalámbrico, filtros de aire lavables, operación silenciosa, control electrónico de temperatura y refrigerante ecológico de alta eficiencia energética. El suministro deberá incluir todos los accesorios, materiales y componentes necesarios para su correcta instalación, puesta en marcha y funcionamiento integral. El proveedor deberá realizar la instalación completa, pruebas de funcionamiento, capacitación básica de uso y entregar el equipo totalmente operativo y en condiciones óptimas de funcionamiento. Asimismo, deberá otorgar una garantía mínima de dos (2) años contra defectos de fabricación, instalación o funcionamiento, incluyendo soporte técnico y servicio postventa durante el período de garantía.</w:t>
            </w:r>
          </w:p>
        </w:tc>
        <w:tc>
          <w:tcPr>
            <w:tcW w:w="0" w:type="auto"/>
            <w:tcBorders>
              <w:top w:val="nil"/>
              <w:left w:val="nil"/>
              <w:bottom w:val="single" w:sz="4" w:space="0" w:color="auto"/>
              <w:right w:val="single" w:sz="4" w:space="0" w:color="auto"/>
            </w:tcBorders>
            <w:shd w:val="clear" w:color="auto" w:fill="auto"/>
            <w:noWrap/>
            <w:hideMark/>
          </w:tcPr>
          <w:p w14:paraId="659C6C3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6</w:t>
            </w:r>
          </w:p>
        </w:tc>
        <w:tc>
          <w:tcPr>
            <w:tcW w:w="0" w:type="auto"/>
            <w:tcBorders>
              <w:top w:val="nil"/>
              <w:left w:val="nil"/>
              <w:bottom w:val="single" w:sz="4" w:space="0" w:color="auto"/>
              <w:right w:val="single" w:sz="4" w:space="0" w:color="auto"/>
            </w:tcBorders>
            <w:shd w:val="clear" w:color="auto" w:fill="auto"/>
            <w:noWrap/>
            <w:hideMark/>
          </w:tcPr>
          <w:p w14:paraId="3CF09CF3"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75C1F2BC"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2C8A1C0C"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29.800.000 </w:t>
            </w:r>
          </w:p>
        </w:tc>
        <w:tc>
          <w:tcPr>
            <w:tcW w:w="0" w:type="auto"/>
            <w:tcBorders>
              <w:top w:val="nil"/>
              <w:left w:val="nil"/>
              <w:bottom w:val="single" w:sz="4" w:space="0" w:color="auto"/>
              <w:right w:val="single" w:sz="4" w:space="0" w:color="auto"/>
            </w:tcBorders>
            <w:shd w:val="clear" w:color="auto" w:fill="auto"/>
            <w:noWrap/>
            <w:hideMark/>
          </w:tcPr>
          <w:p w14:paraId="4962B4AD"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29.800.000 </w:t>
            </w:r>
          </w:p>
        </w:tc>
      </w:tr>
      <w:tr w:rsidR="00581335" w:rsidRPr="00581335" w14:paraId="31F2EE56" w14:textId="77777777" w:rsidTr="00581335">
        <w:trPr>
          <w:trHeight w:val="3468"/>
        </w:trPr>
        <w:tc>
          <w:tcPr>
            <w:tcW w:w="410" w:type="dxa"/>
            <w:tcBorders>
              <w:top w:val="nil"/>
              <w:left w:val="single" w:sz="4" w:space="0" w:color="auto"/>
              <w:bottom w:val="single" w:sz="4" w:space="0" w:color="auto"/>
              <w:right w:val="single" w:sz="4" w:space="0" w:color="auto"/>
            </w:tcBorders>
            <w:shd w:val="clear" w:color="auto" w:fill="auto"/>
            <w:noWrap/>
            <w:hideMark/>
          </w:tcPr>
          <w:p w14:paraId="04494500"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208</w:t>
            </w:r>
          </w:p>
        </w:tc>
        <w:tc>
          <w:tcPr>
            <w:tcW w:w="2325" w:type="dxa"/>
            <w:tcBorders>
              <w:top w:val="nil"/>
              <w:left w:val="nil"/>
              <w:bottom w:val="single" w:sz="4" w:space="0" w:color="auto"/>
              <w:right w:val="single" w:sz="4" w:space="0" w:color="auto"/>
            </w:tcBorders>
            <w:shd w:val="clear" w:color="auto" w:fill="auto"/>
            <w:hideMark/>
          </w:tcPr>
          <w:p w14:paraId="09E8BEB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Aire acondicionado tipo split de pared con capacidad nominal de 18.000 BTU/h</w:t>
            </w:r>
          </w:p>
        </w:tc>
        <w:tc>
          <w:tcPr>
            <w:tcW w:w="0" w:type="auto"/>
            <w:tcBorders>
              <w:top w:val="nil"/>
              <w:left w:val="nil"/>
              <w:bottom w:val="single" w:sz="4" w:space="0" w:color="auto"/>
              <w:right w:val="single" w:sz="4" w:space="0" w:color="auto"/>
            </w:tcBorders>
            <w:shd w:val="clear" w:color="auto" w:fill="auto"/>
            <w:hideMark/>
          </w:tcPr>
          <w:p w14:paraId="40E8F7F3"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Aire acondicionado tipo split de pared con capacidad nominal de 18.000 BTU/h, diseñado para la climatización eficiente de oficinas, laboratorios, aulas, salas de reuniones y otros ambientes interiores de tamaño mediano, compuesto por unidad evaporadora interna y unidad condensadora externa. El equipo deberá contar con funciones de refrigeración, ventilación, deshumidificación y modo automático, control remoto inalámbrico, control electrónico de temperatura, filtros de aire lavables, distribución uniforme del flujo de aire, bajo nivel de ruido y utilización de refrigerante ecológico de alta eficiencia energética. El suministro deberá incluir todos los accesorios, materiales y componentes necesarios para su instalación, puesta en marcha y correcto funcionamiento. El proveedor deberá realizar la instalación completa, pruebas operativas y entrega del equipo totalmente funcional, así como brindar servicio técnico especializado y soporte postventa. Además, deberá otorgar una garantía mínima de dos (2) años contra defectos de fabricación, instalación o funcionamiento, incluyendo mano de obra y reposición de componentes defectuosos durante el período de garantía.</w:t>
            </w:r>
          </w:p>
        </w:tc>
        <w:tc>
          <w:tcPr>
            <w:tcW w:w="0" w:type="auto"/>
            <w:tcBorders>
              <w:top w:val="nil"/>
              <w:left w:val="nil"/>
              <w:bottom w:val="single" w:sz="4" w:space="0" w:color="auto"/>
              <w:right w:val="single" w:sz="4" w:space="0" w:color="auto"/>
            </w:tcBorders>
            <w:shd w:val="clear" w:color="auto" w:fill="auto"/>
            <w:noWrap/>
            <w:hideMark/>
          </w:tcPr>
          <w:p w14:paraId="447D091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2</w:t>
            </w:r>
          </w:p>
        </w:tc>
        <w:tc>
          <w:tcPr>
            <w:tcW w:w="0" w:type="auto"/>
            <w:tcBorders>
              <w:top w:val="nil"/>
              <w:left w:val="nil"/>
              <w:bottom w:val="single" w:sz="4" w:space="0" w:color="auto"/>
              <w:right w:val="single" w:sz="4" w:space="0" w:color="auto"/>
            </w:tcBorders>
            <w:shd w:val="clear" w:color="auto" w:fill="auto"/>
            <w:noWrap/>
            <w:hideMark/>
          </w:tcPr>
          <w:p w14:paraId="0BD24260"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1C4904E4"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384D522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5.150.000 </w:t>
            </w:r>
          </w:p>
        </w:tc>
        <w:tc>
          <w:tcPr>
            <w:tcW w:w="0" w:type="auto"/>
            <w:tcBorders>
              <w:top w:val="nil"/>
              <w:left w:val="nil"/>
              <w:bottom w:val="single" w:sz="4" w:space="0" w:color="auto"/>
              <w:right w:val="single" w:sz="4" w:space="0" w:color="auto"/>
            </w:tcBorders>
            <w:shd w:val="clear" w:color="auto" w:fill="auto"/>
            <w:noWrap/>
            <w:hideMark/>
          </w:tcPr>
          <w:p w14:paraId="09558C4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5.150.000 </w:t>
            </w:r>
          </w:p>
        </w:tc>
      </w:tr>
      <w:tr w:rsidR="00581335" w:rsidRPr="00581335" w14:paraId="2912674E" w14:textId="77777777" w:rsidTr="00581335">
        <w:trPr>
          <w:trHeight w:val="3672"/>
        </w:trPr>
        <w:tc>
          <w:tcPr>
            <w:tcW w:w="410" w:type="dxa"/>
            <w:tcBorders>
              <w:top w:val="nil"/>
              <w:left w:val="single" w:sz="4" w:space="0" w:color="auto"/>
              <w:bottom w:val="single" w:sz="4" w:space="0" w:color="auto"/>
              <w:right w:val="single" w:sz="4" w:space="0" w:color="auto"/>
            </w:tcBorders>
            <w:shd w:val="clear" w:color="auto" w:fill="auto"/>
            <w:noWrap/>
            <w:hideMark/>
          </w:tcPr>
          <w:p w14:paraId="4FAE26B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209</w:t>
            </w:r>
          </w:p>
        </w:tc>
        <w:tc>
          <w:tcPr>
            <w:tcW w:w="2325" w:type="dxa"/>
            <w:tcBorders>
              <w:top w:val="nil"/>
              <w:left w:val="nil"/>
              <w:bottom w:val="single" w:sz="4" w:space="0" w:color="auto"/>
              <w:right w:val="single" w:sz="4" w:space="0" w:color="auto"/>
            </w:tcBorders>
            <w:shd w:val="clear" w:color="auto" w:fill="auto"/>
            <w:hideMark/>
          </w:tcPr>
          <w:p w14:paraId="671033A3"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Aire acondicionado tipo split de pared con capacidad nominal de 24.000 BTU/h</w:t>
            </w:r>
          </w:p>
        </w:tc>
        <w:tc>
          <w:tcPr>
            <w:tcW w:w="0" w:type="auto"/>
            <w:tcBorders>
              <w:top w:val="nil"/>
              <w:left w:val="nil"/>
              <w:bottom w:val="single" w:sz="4" w:space="0" w:color="auto"/>
              <w:right w:val="single" w:sz="4" w:space="0" w:color="auto"/>
            </w:tcBorders>
            <w:shd w:val="clear" w:color="auto" w:fill="auto"/>
            <w:hideMark/>
          </w:tcPr>
          <w:p w14:paraId="7399E96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Aire acondicionado tipo split de pared con capacidad nominal de 24.000 BTU/h, diseñado para la climatización eficiente de oficinas, laboratorios, salas de reuniones, aulas y otros ambientes interiores de tamaño mediano a grande, compuesto por una unidad evaporadora interna y una unidad condensadora externa. El equipo deberá contar con funciones de refrigeración, ventilación, deshumidificación y modo automático, control remoto inalámbrico, control electrónico de temperatura, múltiples velocidades de ventilación, filtros de aire lavables, distribución uniforme del flujo de aire, bajo nivel de ruido y utilización de refrigerante ecológico de alta eficiencia energética. El suministro deberá incluir todos los accesorios, materiales y componentes necesarios para su correcta instalación, puesta en marcha y funcionamiento integral. El proveedor deberá realizar la instalación completa, pruebas de funcionamiento y entrega del equipo totalmente operativo, además de garantizar la disponibilidad de servicio técnico especializado y soporte postventa. Asimismo, deberá otorgar una garantía mínima de dos (2) años contra defectos de fabricación, instalación o funcionamiento, incluyendo mano de obra, asistencia técnica y reposición de componentes defectuosos durante el período de garantía.</w:t>
            </w:r>
          </w:p>
        </w:tc>
        <w:tc>
          <w:tcPr>
            <w:tcW w:w="0" w:type="auto"/>
            <w:tcBorders>
              <w:top w:val="nil"/>
              <w:left w:val="nil"/>
              <w:bottom w:val="single" w:sz="4" w:space="0" w:color="auto"/>
              <w:right w:val="single" w:sz="4" w:space="0" w:color="auto"/>
            </w:tcBorders>
            <w:shd w:val="clear" w:color="auto" w:fill="auto"/>
            <w:noWrap/>
            <w:hideMark/>
          </w:tcPr>
          <w:p w14:paraId="729BF18D"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1</w:t>
            </w:r>
          </w:p>
        </w:tc>
        <w:tc>
          <w:tcPr>
            <w:tcW w:w="0" w:type="auto"/>
            <w:tcBorders>
              <w:top w:val="nil"/>
              <w:left w:val="nil"/>
              <w:bottom w:val="single" w:sz="4" w:space="0" w:color="auto"/>
              <w:right w:val="single" w:sz="4" w:space="0" w:color="auto"/>
            </w:tcBorders>
            <w:shd w:val="clear" w:color="auto" w:fill="auto"/>
            <w:noWrap/>
            <w:hideMark/>
          </w:tcPr>
          <w:p w14:paraId="638EA60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72846BD3"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5D298592"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7.160.000 </w:t>
            </w:r>
          </w:p>
        </w:tc>
        <w:tc>
          <w:tcPr>
            <w:tcW w:w="0" w:type="auto"/>
            <w:tcBorders>
              <w:top w:val="nil"/>
              <w:left w:val="nil"/>
              <w:bottom w:val="single" w:sz="4" w:space="0" w:color="auto"/>
              <w:right w:val="single" w:sz="4" w:space="0" w:color="auto"/>
            </w:tcBorders>
            <w:shd w:val="clear" w:color="auto" w:fill="auto"/>
            <w:noWrap/>
            <w:hideMark/>
          </w:tcPr>
          <w:p w14:paraId="1CF61F10"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7.160.000 </w:t>
            </w:r>
          </w:p>
        </w:tc>
      </w:tr>
      <w:tr w:rsidR="00581335" w:rsidRPr="00581335" w14:paraId="545878C9" w14:textId="77777777" w:rsidTr="00581335">
        <w:trPr>
          <w:trHeight w:val="3876"/>
        </w:trPr>
        <w:tc>
          <w:tcPr>
            <w:tcW w:w="410" w:type="dxa"/>
            <w:tcBorders>
              <w:top w:val="nil"/>
              <w:left w:val="single" w:sz="4" w:space="0" w:color="auto"/>
              <w:bottom w:val="single" w:sz="4" w:space="0" w:color="auto"/>
              <w:right w:val="single" w:sz="4" w:space="0" w:color="auto"/>
            </w:tcBorders>
            <w:shd w:val="clear" w:color="auto" w:fill="auto"/>
            <w:noWrap/>
            <w:hideMark/>
          </w:tcPr>
          <w:p w14:paraId="4211E18B"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210</w:t>
            </w:r>
          </w:p>
        </w:tc>
        <w:tc>
          <w:tcPr>
            <w:tcW w:w="2325" w:type="dxa"/>
            <w:tcBorders>
              <w:top w:val="nil"/>
              <w:left w:val="nil"/>
              <w:bottom w:val="single" w:sz="4" w:space="0" w:color="auto"/>
              <w:right w:val="single" w:sz="4" w:space="0" w:color="auto"/>
            </w:tcBorders>
            <w:shd w:val="clear" w:color="auto" w:fill="auto"/>
            <w:hideMark/>
          </w:tcPr>
          <w:p w14:paraId="430672E7"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Sistema de Alimentación Ininterrumpida (UPS) inteligente en línea de doble conversión, con capacidad mínima de 3 kVA / 3 kW</w:t>
            </w:r>
          </w:p>
        </w:tc>
        <w:tc>
          <w:tcPr>
            <w:tcW w:w="0" w:type="auto"/>
            <w:tcBorders>
              <w:top w:val="nil"/>
              <w:left w:val="nil"/>
              <w:bottom w:val="single" w:sz="4" w:space="0" w:color="auto"/>
              <w:right w:val="single" w:sz="4" w:space="0" w:color="auto"/>
            </w:tcBorders>
            <w:shd w:val="clear" w:color="auto" w:fill="auto"/>
            <w:hideMark/>
          </w:tcPr>
          <w:p w14:paraId="6972E6DA"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Sistema de Alimentación Ininterrumpida (UPS) inteligente en línea de doble conversión, con capacidad mínima de 3 kVA / 3 kW, diseñado para la protección continua de equipos críticos de laboratorio, servidores, sistemas informáticos, instrumentación científica y equipos electrónicos sensibles frente a cortes de energía, fluctuaciones de tensión, sobretensiones, caídas de voltaje y perturbaciones de la red eléctrica. El equipo deberá operar con tecnología de doble conversión en línea, proporcionando una onda sinusoidal pura en la salida, pantalla LCD para monitoreo de parámetros operativos, gestión inteligente de baterías, puertos de comunicación para monitoreo remoto, funciones de autodiagnóstico y protección contra sobrecargas, cortocircuitos y sobretemperatura. Deberá incluir baterías internas o externas según configuración del fabricante, software de gestión y todos los accesorios necesarios para su instalación y puesta en funcionamiento. El proveedor deberá realizar la instalación, configuración, pruebas operativas y entrega del sistema completamente funcional, además de brindar servicio técnico especializado, soporte postventa y disponibilidad de repuestos. Asimismo, deberá otorgar una garantía mínima de dos (2) años para el equipo y sus componentes, incluyendo mano de obra y asistencia técnica durante el período de garantía.</w:t>
            </w:r>
          </w:p>
        </w:tc>
        <w:tc>
          <w:tcPr>
            <w:tcW w:w="0" w:type="auto"/>
            <w:tcBorders>
              <w:top w:val="nil"/>
              <w:left w:val="nil"/>
              <w:bottom w:val="single" w:sz="4" w:space="0" w:color="auto"/>
              <w:right w:val="single" w:sz="4" w:space="0" w:color="auto"/>
            </w:tcBorders>
            <w:shd w:val="clear" w:color="auto" w:fill="auto"/>
            <w:noWrap/>
            <w:hideMark/>
          </w:tcPr>
          <w:p w14:paraId="780F185A"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2</w:t>
            </w:r>
          </w:p>
        </w:tc>
        <w:tc>
          <w:tcPr>
            <w:tcW w:w="0" w:type="auto"/>
            <w:tcBorders>
              <w:top w:val="nil"/>
              <w:left w:val="nil"/>
              <w:bottom w:val="single" w:sz="4" w:space="0" w:color="auto"/>
              <w:right w:val="single" w:sz="4" w:space="0" w:color="auto"/>
            </w:tcBorders>
            <w:shd w:val="clear" w:color="auto" w:fill="auto"/>
            <w:noWrap/>
            <w:hideMark/>
          </w:tcPr>
          <w:p w14:paraId="762628C2"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30F68241"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7BEFC11D"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4.200.000 </w:t>
            </w:r>
          </w:p>
        </w:tc>
        <w:tc>
          <w:tcPr>
            <w:tcW w:w="0" w:type="auto"/>
            <w:tcBorders>
              <w:top w:val="nil"/>
              <w:left w:val="nil"/>
              <w:bottom w:val="single" w:sz="4" w:space="0" w:color="auto"/>
              <w:right w:val="single" w:sz="4" w:space="0" w:color="auto"/>
            </w:tcBorders>
            <w:shd w:val="clear" w:color="auto" w:fill="auto"/>
            <w:noWrap/>
            <w:hideMark/>
          </w:tcPr>
          <w:p w14:paraId="37D07D02"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4.200.000 </w:t>
            </w:r>
          </w:p>
        </w:tc>
      </w:tr>
      <w:tr w:rsidR="00581335" w:rsidRPr="00581335" w14:paraId="7E92B606" w14:textId="77777777" w:rsidTr="00581335">
        <w:trPr>
          <w:trHeight w:val="4284"/>
        </w:trPr>
        <w:tc>
          <w:tcPr>
            <w:tcW w:w="410" w:type="dxa"/>
            <w:tcBorders>
              <w:top w:val="nil"/>
              <w:left w:val="single" w:sz="4" w:space="0" w:color="auto"/>
              <w:bottom w:val="single" w:sz="4" w:space="0" w:color="auto"/>
              <w:right w:val="single" w:sz="4" w:space="0" w:color="auto"/>
            </w:tcBorders>
            <w:shd w:val="clear" w:color="auto" w:fill="auto"/>
            <w:noWrap/>
            <w:hideMark/>
          </w:tcPr>
          <w:p w14:paraId="611EA6A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211</w:t>
            </w:r>
          </w:p>
        </w:tc>
        <w:tc>
          <w:tcPr>
            <w:tcW w:w="2325" w:type="dxa"/>
            <w:tcBorders>
              <w:top w:val="nil"/>
              <w:left w:val="nil"/>
              <w:bottom w:val="single" w:sz="4" w:space="0" w:color="auto"/>
              <w:right w:val="single" w:sz="4" w:space="0" w:color="auto"/>
            </w:tcBorders>
            <w:shd w:val="clear" w:color="auto" w:fill="auto"/>
            <w:hideMark/>
          </w:tcPr>
          <w:p w14:paraId="6FEC93F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Sistema de Alimentación Ininterrumpida (UPS) inteligente en línea de doble conversión, con capacidad mínima de 6 kVA / 6 kW</w:t>
            </w:r>
          </w:p>
        </w:tc>
        <w:tc>
          <w:tcPr>
            <w:tcW w:w="0" w:type="auto"/>
            <w:tcBorders>
              <w:top w:val="nil"/>
              <w:left w:val="nil"/>
              <w:bottom w:val="single" w:sz="4" w:space="0" w:color="auto"/>
              <w:right w:val="single" w:sz="4" w:space="0" w:color="auto"/>
            </w:tcBorders>
            <w:shd w:val="clear" w:color="auto" w:fill="auto"/>
            <w:hideMark/>
          </w:tcPr>
          <w:p w14:paraId="61F513CA"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Sistema de Alimentación Ininterrumpida (UPS) inteligente en línea de doble conversión, con capacidad mínima de 6 kVA / 6 kW, diseñado para garantizar el suministro continuo y estable de energía eléctrica a equipos críticos de laboratorio, servidores, sistemas de almacenamiento de datos, instrumentación científica, equipos de biología molecular y otros dispositivos electrónicos sensibles. El equipo deberá operar con tecnología de doble conversión en línea (Online), proporcionando una onda sinusoidal pura en la salida, con regulación automática de voltaje, corrección del factor de potencia, sistema de gestión inteligente de baterías, pantalla LCD para monitoreo en tiempo real de parámetros eléctricos y estado del sistema, puertos de comunicación para monitoreo y administración remota, y protección contra sobrecargas, cortocircuitos, sobretensiones, subtensiones, picos de tensión y sobretemperatura. Deberá incluir baterías, software de monitoreo y todos los accesorios necesarios para su instalación y puesta en funcionamiento. El proveedor deberá realizar la instalación, configuración, pruebas operativas y entrega del sistema completamente funcional, además de brindar servicio técnico especializado, soporte postventa y disponibilidad de repuestos. Asimismo, deberá otorgar una garantía mínima de dos (2) años para el equipo y sus componentes, incluyendo mano de obra, asistencia técnica y reemplazo de piezas defectuosas durante el período de garantía.</w:t>
            </w:r>
          </w:p>
        </w:tc>
        <w:tc>
          <w:tcPr>
            <w:tcW w:w="0" w:type="auto"/>
            <w:tcBorders>
              <w:top w:val="nil"/>
              <w:left w:val="nil"/>
              <w:bottom w:val="single" w:sz="4" w:space="0" w:color="auto"/>
              <w:right w:val="single" w:sz="4" w:space="0" w:color="auto"/>
            </w:tcBorders>
            <w:shd w:val="clear" w:color="auto" w:fill="auto"/>
            <w:noWrap/>
            <w:hideMark/>
          </w:tcPr>
          <w:p w14:paraId="12051AE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1</w:t>
            </w:r>
          </w:p>
        </w:tc>
        <w:tc>
          <w:tcPr>
            <w:tcW w:w="0" w:type="auto"/>
            <w:tcBorders>
              <w:top w:val="nil"/>
              <w:left w:val="nil"/>
              <w:bottom w:val="single" w:sz="4" w:space="0" w:color="auto"/>
              <w:right w:val="single" w:sz="4" w:space="0" w:color="auto"/>
            </w:tcBorders>
            <w:shd w:val="clear" w:color="auto" w:fill="auto"/>
            <w:noWrap/>
            <w:hideMark/>
          </w:tcPr>
          <w:p w14:paraId="68E5E6AF"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56CFAE73"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78645AAD"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9.250.000 </w:t>
            </w:r>
          </w:p>
        </w:tc>
        <w:tc>
          <w:tcPr>
            <w:tcW w:w="0" w:type="auto"/>
            <w:tcBorders>
              <w:top w:val="nil"/>
              <w:left w:val="nil"/>
              <w:bottom w:val="single" w:sz="4" w:space="0" w:color="auto"/>
              <w:right w:val="single" w:sz="4" w:space="0" w:color="auto"/>
            </w:tcBorders>
            <w:shd w:val="clear" w:color="auto" w:fill="auto"/>
            <w:noWrap/>
            <w:hideMark/>
          </w:tcPr>
          <w:p w14:paraId="3CF78414"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9.250.000 </w:t>
            </w:r>
          </w:p>
        </w:tc>
      </w:tr>
      <w:tr w:rsidR="00581335" w:rsidRPr="00581335" w14:paraId="4F776017" w14:textId="77777777" w:rsidTr="00581335">
        <w:trPr>
          <w:trHeight w:val="3264"/>
        </w:trPr>
        <w:tc>
          <w:tcPr>
            <w:tcW w:w="410" w:type="dxa"/>
            <w:tcBorders>
              <w:top w:val="nil"/>
              <w:left w:val="single" w:sz="4" w:space="0" w:color="auto"/>
              <w:bottom w:val="single" w:sz="4" w:space="0" w:color="auto"/>
              <w:right w:val="single" w:sz="4" w:space="0" w:color="auto"/>
            </w:tcBorders>
            <w:shd w:val="clear" w:color="auto" w:fill="auto"/>
            <w:noWrap/>
            <w:hideMark/>
          </w:tcPr>
          <w:p w14:paraId="5D5DFE50"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lastRenderedPageBreak/>
              <w:t>212</w:t>
            </w:r>
          </w:p>
        </w:tc>
        <w:tc>
          <w:tcPr>
            <w:tcW w:w="2325" w:type="dxa"/>
            <w:tcBorders>
              <w:top w:val="nil"/>
              <w:left w:val="nil"/>
              <w:bottom w:val="single" w:sz="4" w:space="0" w:color="auto"/>
              <w:right w:val="single" w:sz="4" w:space="0" w:color="auto"/>
            </w:tcBorders>
            <w:shd w:val="clear" w:color="auto" w:fill="auto"/>
            <w:noWrap/>
            <w:hideMark/>
          </w:tcPr>
          <w:p w14:paraId="79F21FE5"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Reactor hidrotérmico (autoclave) de laboratorio de 25 mL o equivalente</w:t>
            </w:r>
          </w:p>
        </w:tc>
        <w:tc>
          <w:tcPr>
            <w:tcW w:w="0" w:type="auto"/>
            <w:tcBorders>
              <w:top w:val="nil"/>
              <w:left w:val="nil"/>
              <w:bottom w:val="single" w:sz="4" w:space="0" w:color="auto"/>
              <w:right w:val="single" w:sz="4" w:space="0" w:color="auto"/>
            </w:tcBorders>
            <w:shd w:val="clear" w:color="auto" w:fill="auto"/>
            <w:hideMark/>
          </w:tcPr>
          <w:p w14:paraId="58BE966A"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diseñado para reacciones de síntesis hidrotérmica y digestión de muestras a alta temperatura y presión en aplicaciones de química, ciencia de materiales y biotecnología; el equipo deberá estar compuesto por una carcasa externa de acero inoxidable (preferentemente SS304 o SS316) y un recipiente interno (liner) de PTFE o material equivalente, altamente resistente a ácidos, bases y solventes orgánicos; deberá operar como sistema cerrado hermético mediante rosca o sellado mecánico seguro, permitiendo trabajar en condiciones de alta presión (hasta aproximadamente 3 MPa) y temperatura (hasta 200–240 °C, según material del liner), garantizando estabilidad y seguridad durante la reacción; el diseño deberá permitir calentamiento externo (por estufa, horno o manta calefactora), con distribución uniforme del calor; deberá ser de fácil ensamblaje, limpieza y mantenimiento; se deberá incluir el reactor completo con liner interno, tapa, sistema de sellado y accesorios necesarios; el equipo deberá garantizar resistencia química, durabilidad y operación segura en condiciones de laboratorio.</w:t>
            </w:r>
          </w:p>
        </w:tc>
        <w:tc>
          <w:tcPr>
            <w:tcW w:w="0" w:type="auto"/>
            <w:tcBorders>
              <w:top w:val="nil"/>
              <w:left w:val="nil"/>
              <w:bottom w:val="single" w:sz="4" w:space="0" w:color="auto"/>
              <w:right w:val="single" w:sz="4" w:space="0" w:color="auto"/>
            </w:tcBorders>
            <w:shd w:val="clear" w:color="auto" w:fill="auto"/>
            <w:noWrap/>
            <w:hideMark/>
          </w:tcPr>
          <w:p w14:paraId="229D550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2</w:t>
            </w:r>
          </w:p>
        </w:tc>
        <w:tc>
          <w:tcPr>
            <w:tcW w:w="0" w:type="auto"/>
            <w:tcBorders>
              <w:top w:val="nil"/>
              <w:left w:val="nil"/>
              <w:bottom w:val="single" w:sz="4" w:space="0" w:color="auto"/>
              <w:right w:val="single" w:sz="4" w:space="0" w:color="auto"/>
            </w:tcBorders>
            <w:shd w:val="clear" w:color="auto" w:fill="auto"/>
            <w:noWrap/>
            <w:hideMark/>
          </w:tcPr>
          <w:p w14:paraId="08D38BF8"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36AD52D4"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UNIDAD</w:t>
            </w:r>
          </w:p>
        </w:tc>
        <w:tc>
          <w:tcPr>
            <w:tcW w:w="0" w:type="auto"/>
            <w:tcBorders>
              <w:top w:val="nil"/>
              <w:left w:val="nil"/>
              <w:bottom w:val="single" w:sz="4" w:space="0" w:color="auto"/>
              <w:right w:val="single" w:sz="4" w:space="0" w:color="auto"/>
            </w:tcBorders>
            <w:shd w:val="clear" w:color="auto" w:fill="auto"/>
            <w:noWrap/>
            <w:hideMark/>
          </w:tcPr>
          <w:p w14:paraId="324F6F86"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1.680.000 </w:t>
            </w:r>
          </w:p>
        </w:tc>
        <w:tc>
          <w:tcPr>
            <w:tcW w:w="0" w:type="auto"/>
            <w:tcBorders>
              <w:top w:val="nil"/>
              <w:left w:val="nil"/>
              <w:bottom w:val="single" w:sz="4" w:space="0" w:color="auto"/>
              <w:right w:val="single" w:sz="4" w:space="0" w:color="auto"/>
            </w:tcBorders>
            <w:shd w:val="clear" w:color="auto" w:fill="auto"/>
            <w:noWrap/>
            <w:hideMark/>
          </w:tcPr>
          <w:p w14:paraId="2C763FB9" w14:textId="77777777" w:rsidR="00581335" w:rsidRPr="00581335" w:rsidRDefault="00581335" w:rsidP="00581335">
            <w:pPr>
              <w:spacing w:after="0" w:line="240" w:lineRule="auto"/>
              <w:rPr>
                <w:rFonts w:asciiTheme="majorHAnsi" w:eastAsia="Times New Roman" w:hAnsiTheme="majorHAnsi" w:cstheme="majorHAnsi"/>
                <w:color w:val="000000"/>
                <w:sz w:val="16"/>
                <w:szCs w:val="16"/>
                <w:lang w:eastAsia="es-PY"/>
              </w:rPr>
            </w:pPr>
            <w:r w:rsidRPr="00581335">
              <w:rPr>
                <w:rFonts w:asciiTheme="majorHAnsi" w:eastAsia="Times New Roman" w:hAnsiTheme="majorHAnsi" w:cstheme="majorHAnsi"/>
                <w:color w:val="000000"/>
                <w:sz w:val="16"/>
                <w:szCs w:val="16"/>
                <w:lang w:eastAsia="es-PY"/>
              </w:rPr>
              <w:t xml:space="preserve">           1.680.000 </w:t>
            </w:r>
          </w:p>
        </w:tc>
      </w:tr>
    </w:tbl>
    <w:p w14:paraId="4CD7DC0D" w14:textId="77777777" w:rsidR="00D9396D" w:rsidRDefault="00D9396D" w:rsidP="007943B8">
      <w:pPr>
        <w:pStyle w:val="Tablaconcuadrcula"/>
        <w:pBdr>
          <w:bottom w:val="single" w:sz="4" w:space="1" w:color="auto"/>
        </w:pBdr>
        <w:tabs>
          <w:tab w:val="left" w:pos="284"/>
        </w:tabs>
        <w:spacing w:line="276" w:lineRule="auto"/>
        <w:jc w:val="both"/>
        <w:rPr>
          <w:rFonts w:asciiTheme="majorHAnsi" w:hAnsiTheme="majorHAnsi" w:cstheme="majorHAnsi"/>
          <w:sz w:val="22"/>
          <w:szCs w:val="22"/>
        </w:rPr>
      </w:pPr>
    </w:p>
    <w:p w14:paraId="7733EF2E" w14:textId="77777777" w:rsidR="00D9396D" w:rsidRDefault="00D9396D" w:rsidP="007943B8">
      <w:pPr>
        <w:pStyle w:val="Tablaconcuadrcula"/>
        <w:pBdr>
          <w:bottom w:val="single" w:sz="4" w:space="1" w:color="auto"/>
        </w:pBdr>
        <w:tabs>
          <w:tab w:val="left" w:pos="284"/>
        </w:tabs>
        <w:spacing w:line="276" w:lineRule="auto"/>
        <w:jc w:val="both"/>
        <w:rPr>
          <w:rFonts w:asciiTheme="majorHAnsi" w:hAnsiTheme="majorHAnsi" w:cstheme="majorHAnsi"/>
          <w:sz w:val="22"/>
          <w:szCs w:val="22"/>
        </w:rPr>
      </w:pPr>
    </w:p>
    <w:p w14:paraId="6771F911" w14:textId="77777777" w:rsidR="00451DCF" w:rsidRPr="00BF1338" w:rsidRDefault="00451DCF" w:rsidP="007943B8">
      <w:pPr>
        <w:pStyle w:val="Tablaconcuadrcula"/>
        <w:pBdr>
          <w:bottom w:val="single" w:sz="4" w:space="1" w:color="auto"/>
        </w:pBdr>
        <w:tabs>
          <w:tab w:val="left" w:pos="284"/>
        </w:tabs>
        <w:spacing w:line="276" w:lineRule="auto"/>
        <w:jc w:val="both"/>
        <w:rPr>
          <w:rFonts w:asciiTheme="majorHAnsi" w:hAnsiTheme="majorHAnsi" w:cstheme="majorHAnsi"/>
          <w:sz w:val="22"/>
          <w:szCs w:val="22"/>
        </w:rPr>
      </w:pPr>
    </w:p>
    <w:p w14:paraId="26749CF3" w14:textId="77777777" w:rsidR="00E84658" w:rsidRPr="007943B8" w:rsidRDefault="00F44D19" w:rsidP="007943B8">
      <w:pPr>
        <w:pStyle w:val="Estilo2Car"/>
        <w:numPr>
          <w:ilvl w:val="0"/>
          <w:numId w:val="37"/>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7943B8">
        <w:rPr>
          <w:rFonts w:asciiTheme="majorHAnsi" w:hAnsiTheme="majorHAnsi" w:cstheme="majorHAnsi"/>
        </w:rPr>
        <w:t>PLAN DE ENTREGA DE LOS BIENES</w:t>
      </w:r>
      <w:r>
        <w:rPr>
          <w:rFonts w:asciiTheme="majorHAnsi" w:hAnsiTheme="majorHAnsi" w:cstheme="majorHAnsi"/>
        </w:rPr>
        <w:t xml:space="preserve"> E INSUMOS</w:t>
      </w:r>
    </w:p>
    <w:p w14:paraId="62B5D7C3" w14:textId="77777777" w:rsidR="00E84658" w:rsidRPr="00370012" w:rsidRDefault="00E84658" w:rsidP="00E2228D">
      <w:pPr>
        <w:pStyle w:val="Ttulo2Car"/>
        <w:suppressAutoHyphens/>
        <w:rPr>
          <w:rFonts w:asciiTheme="majorHAnsi" w:hAnsiTheme="majorHAnsi" w:cstheme="majorHAnsi"/>
          <w:iCs/>
          <w:lang w:val="es-ES"/>
        </w:rPr>
      </w:pPr>
      <w:r w:rsidRPr="00370012">
        <w:rPr>
          <w:rFonts w:asciiTheme="majorHAnsi" w:hAnsiTheme="majorHAnsi" w:cstheme="majorHAnsi"/>
          <w:iCs/>
          <w:lang w:val="es-ES"/>
        </w:rPr>
        <w:t>La entrega de los bienes</w:t>
      </w:r>
      <w:r w:rsidR="007943B8">
        <w:rPr>
          <w:rFonts w:asciiTheme="majorHAnsi" w:hAnsiTheme="majorHAnsi" w:cstheme="majorHAnsi"/>
          <w:iCs/>
          <w:lang w:val="es-ES"/>
        </w:rPr>
        <w:t xml:space="preserve"> e insumos</w:t>
      </w:r>
      <w:r w:rsidRPr="00370012">
        <w:rPr>
          <w:rFonts w:asciiTheme="majorHAnsi" w:hAnsiTheme="majorHAnsi" w:cstheme="majorHAnsi"/>
          <w:iCs/>
          <w:lang w:val="es-ES"/>
        </w:rPr>
        <w:t xml:space="preserve"> se realizará de acuerdo al plan de entrega, indicado en el presente apartado. Así mismo, de los documentos de embarque y otros que deberá suministrar el proveedor indicado a continuación:</w:t>
      </w:r>
    </w:p>
    <w:p w14:paraId="65F1CBF6" w14:textId="77777777" w:rsidR="007943B8" w:rsidRPr="00370012" w:rsidRDefault="007943B8" w:rsidP="00636C3A">
      <w:pPr>
        <w:pStyle w:val="Ttulo2Car"/>
        <w:suppressAutoHyphens/>
        <w:rPr>
          <w:rFonts w:asciiTheme="majorHAnsi" w:hAnsiTheme="majorHAnsi" w:cstheme="majorHAnsi"/>
          <w:iCs/>
          <w:lang w:val="es-ES"/>
        </w:rPr>
      </w:pPr>
    </w:p>
    <w:tbl>
      <w:tblPr>
        <w:tblStyle w:val="Textodelmarcadordeposicin"/>
        <w:tblW w:w="1035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359"/>
        <w:gridCol w:w="1006"/>
        <w:gridCol w:w="1262"/>
        <w:gridCol w:w="1843"/>
        <w:gridCol w:w="4254"/>
      </w:tblGrid>
      <w:tr w:rsidR="008C3F9A" w:rsidRPr="00370012" w14:paraId="7745CCD0" w14:textId="77777777" w:rsidTr="00581335">
        <w:trPr>
          <w:trHeight w:val="297"/>
        </w:trPr>
        <w:tc>
          <w:tcPr>
            <w:tcW w:w="626" w:type="dxa"/>
            <w:vAlign w:val="center"/>
          </w:tcPr>
          <w:p w14:paraId="082A8A4A" w14:textId="77777777" w:rsidR="00E84658" w:rsidRPr="00370012" w:rsidRDefault="00E84658" w:rsidP="0020145F">
            <w:pPr>
              <w:pStyle w:val="Ttulo2Car"/>
              <w:suppressAutoHyphens/>
              <w:jc w:val="center"/>
              <w:rPr>
                <w:rFonts w:asciiTheme="majorHAnsi" w:hAnsiTheme="majorHAnsi" w:cstheme="majorHAnsi"/>
                <w:b/>
                <w:iCs/>
                <w:lang w:val="es-ES"/>
              </w:rPr>
            </w:pPr>
            <w:r w:rsidRPr="00370012">
              <w:rPr>
                <w:rFonts w:asciiTheme="majorHAnsi" w:hAnsiTheme="majorHAnsi" w:cstheme="majorHAnsi"/>
                <w:b/>
                <w:iCs/>
                <w:lang w:val="es-ES"/>
              </w:rPr>
              <w:lastRenderedPageBreak/>
              <w:t>Ítem</w:t>
            </w:r>
          </w:p>
        </w:tc>
        <w:tc>
          <w:tcPr>
            <w:tcW w:w="1359" w:type="dxa"/>
            <w:vAlign w:val="center"/>
          </w:tcPr>
          <w:p w14:paraId="6307FE44" w14:textId="77777777" w:rsidR="00E84658" w:rsidRPr="00370012" w:rsidRDefault="00E84658" w:rsidP="0020145F">
            <w:pPr>
              <w:pStyle w:val="Ttulo2Car"/>
              <w:suppressAutoHyphens/>
              <w:jc w:val="center"/>
              <w:rPr>
                <w:rFonts w:asciiTheme="majorHAnsi" w:hAnsiTheme="majorHAnsi" w:cstheme="majorHAnsi"/>
                <w:b/>
                <w:iCs/>
                <w:lang w:val="es-ES"/>
              </w:rPr>
            </w:pPr>
            <w:r w:rsidRPr="00370012">
              <w:rPr>
                <w:rFonts w:asciiTheme="majorHAnsi" w:hAnsiTheme="majorHAnsi" w:cstheme="majorHAnsi"/>
                <w:b/>
                <w:iCs/>
                <w:lang w:val="es-ES"/>
              </w:rPr>
              <w:t>Descripción del bien</w:t>
            </w:r>
          </w:p>
        </w:tc>
        <w:tc>
          <w:tcPr>
            <w:tcW w:w="1006" w:type="dxa"/>
            <w:vAlign w:val="center"/>
          </w:tcPr>
          <w:p w14:paraId="44B2582F" w14:textId="77777777" w:rsidR="00E84658" w:rsidRPr="00370012" w:rsidRDefault="00E84658" w:rsidP="0020145F">
            <w:pPr>
              <w:pStyle w:val="Ttulo2Car"/>
              <w:suppressAutoHyphens/>
              <w:jc w:val="center"/>
              <w:rPr>
                <w:rFonts w:asciiTheme="majorHAnsi" w:hAnsiTheme="majorHAnsi" w:cstheme="majorHAnsi"/>
                <w:b/>
                <w:iCs/>
                <w:lang w:val="es-ES"/>
              </w:rPr>
            </w:pPr>
            <w:r w:rsidRPr="00370012">
              <w:rPr>
                <w:rFonts w:asciiTheme="majorHAnsi" w:hAnsiTheme="majorHAnsi" w:cstheme="majorHAnsi"/>
                <w:b/>
                <w:iCs/>
                <w:lang w:val="es-ES"/>
              </w:rPr>
              <w:t>Cantidad</w:t>
            </w:r>
          </w:p>
        </w:tc>
        <w:tc>
          <w:tcPr>
            <w:tcW w:w="1262" w:type="dxa"/>
            <w:vAlign w:val="center"/>
          </w:tcPr>
          <w:p w14:paraId="08EDE8FB" w14:textId="77777777" w:rsidR="00E84658" w:rsidRPr="00370012" w:rsidRDefault="00E84658" w:rsidP="0020145F">
            <w:pPr>
              <w:pStyle w:val="Ttulo2Car"/>
              <w:suppressAutoHyphens/>
              <w:jc w:val="center"/>
              <w:rPr>
                <w:rFonts w:asciiTheme="majorHAnsi" w:hAnsiTheme="majorHAnsi" w:cstheme="majorHAnsi"/>
                <w:b/>
                <w:iCs/>
                <w:lang w:val="es-ES"/>
              </w:rPr>
            </w:pPr>
            <w:r w:rsidRPr="00370012">
              <w:rPr>
                <w:rFonts w:asciiTheme="majorHAnsi" w:hAnsiTheme="majorHAnsi" w:cstheme="majorHAnsi"/>
                <w:b/>
                <w:iCs/>
                <w:lang w:val="es-ES"/>
              </w:rPr>
              <w:t>Unidad de medida</w:t>
            </w:r>
          </w:p>
        </w:tc>
        <w:tc>
          <w:tcPr>
            <w:tcW w:w="1843" w:type="dxa"/>
            <w:vAlign w:val="center"/>
          </w:tcPr>
          <w:p w14:paraId="2A0F99DC" w14:textId="77777777" w:rsidR="00E84658" w:rsidRPr="00370012" w:rsidRDefault="00E84658" w:rsidP="0020145F">
            <w:pPr>
              <w:pStyle w:val="Ttulo2Car"/>
              <w:suppressAutoHyphens/>
              <w:jc w:val="center"/>
              <w:rPr>
                <w:rFonts w:asciiTheme="majorHAnsi" w:hAnsiTheme="majorHAnsi" w:cstheme="majorHAnsi"/>
                <w:b/>
                <w:iCs/>
                <w:lang w:val="es-ES"/>
              </w:rPr>
            </w:pPr>
            <w:r w:rsidRPr="00370012">
              <w:rPr>
                <w:rFonts w:asciiTheme="majorHAnsi" w:hAnsiTheme="majorHAnsi" w:cstheme="majorHAnsi"/>
                <w:b/>
                <w:iCs/>
                <w:lang w:val="es-ES"/>
              </w:rPr>
              <w:t>Lugar de entrega de los bienes</w:t>
            </w:r>
          </w:p>
        </w:tc>
        <w:tc>
          <w:tcPr>
            <w:tcW w:w="4254" w:type="dxa"/>
            <w:vAlign w:val="center"/>
          </w:tcPr>
          <w:p w14:paraId="338E5B00" w14:textId="77777777" w:rsidR="00E84658" w:rsidRPr="00370012" w:rsidRDefault="00E84658" w:rsidP="0020145F">
            <w:pPr>
              <w:pStyle w:val="Ttulo2Car"/>
              <w:suppressAutoHyphens/>
              <w:jc w:val="center"/>
              <w:rPr>
                <w:rFonts w:asciiTheme="majorHAnsi" w:hAnsiTheme="majorHAnsi" w:cstheme="majorHAnsi"/>
                <w:b/>
                <w:iCs/>
                <w:lang w:val="es-ES"/>
              </w:rPr>
            </w:pPr>
            <w:r w:rsidRPr="00370012">
              <w:rPr>
                <w:rFonts w:asciiTheme="majorHAnsi" w:hAnsiTheme="majorHAnsi" w:cstheme="majorHAnsi"/>
                <w:b/>
                <w:iCs/>
                <w:lang w:val="es-ES"/>
              </w:rPr>
              <w:t>Fecha(s) final(es) de entrega de los bienes</w:t>
            </w:r>
          </w:p>
        </w:tc>
      </w:tr>
      <w:tr w:rsidR="00B50D0D" w:rsidRPr="00B50D0D" w14:paraId="54CB3374" w14:textId="77777777" w:rsidTr="00581335">
        <w:trPr>
          <w:trHeight w:val="863"/>
        </w:trPr>
        <w:tc>
          <w:tcPr>
            <w:tcW w:w="626" w:type="dxa"/>
          </w:tcPr>
          <w:p w14:paraId="4BCF4225" w14:textId="4D165B81" w:rsidR="00E84658" w:rsidRPr="00B50D0D" w:rsidRDefault="005D4D5E" w:rsidP="0020145F">
            <w:pPr>
              <w:pStyle w:val="Ttulo2Car"/>
              <w:suppressAutoHyphens/>
              <w:jc w:val="center"/>
              <w:rPr>
                <w:rFonts w:asciiTheme="majorHAnsi" w:hAnsiTheme="majorHAnsi" w:cstheme="majorHAnsi"/>
                <w:i/>
                <w:iCs/>
                <w:lang w:val="es-ES"/>
              </w:rPr>
            </w:pPr>
            <w:r w:rsidRPr="00B50D0D">
              <w:rPr>
                <w:rFonts w:asciiTheme="majorHAnsi" w:hAnsiTheme="majorHAnsi" w:cstheme="majorHAnsi"/>
                <w:i/>
                <w:iCs/>
                <w:lang w:val="es-ES"/>
              </w:rPr>
              <w:t>1</w:t>
            </w:r>
            <w:r w:rsidR="002A42DF">
              <w:rPr>
                <w:rFonts w:asciiTheme="majorHAnsi" w:hAnsiTheme="majorHAnsi" w:cstheme="majorHAnsi"/>
                <w:i/>
                <w:iCs/>
                <w:lang w:val="es-ES"/>
              </w:rPr>
              <w:t xml:space="preserve"> a</w:t>
            </w:r>
            <w:r w:rsidR="00581335">
              <w:rPr>
                <w:rFonts w:asciiTheme="majorHAnsi" w:hAnsiTheme="majorHAnsi" w:cstheme="majorHAnsi"/>
                <w:i/>
                <w:iCs/>
                <w:lang w:val="es-ES"/>
              </w:rPr>
              <w:t xml:space="preserve"> 212</w:t>
            </w:r>
            <w:r w:rsidR="002A42DF">
              <w:rPr>
                <w:rFonts w:asciiTheme="majorHAnsi" w:hAnsiTheme="majorHAnsi" w:cstheme="majorHAnsi"/>
                <w:i/>
                <w:iCs/>
                <w:lang w:val="es-ES"/>
              </w:rPr>
              <w:t xml:space="preserve"> </w:t>
            </w:r>
          </w:p>
        </w:tc>
        <w:tc>
          <w:tcPr>
            <w:tcW w:w="1359" w:type="dxa"/>
          </w:tcPr>
          <w:p w14:paraId="69296592" w14:textId="7644DAD3" w:rsidR="00E84658" w:rsidRPr="00B50D0D" w:rsidRDefault="008C6C20" w:rsidP="0020145F">
            <w:pPr>
              <w:pStyle w:val="Ttulo2Car"/>
              <w:suppressAutoHyphens/>
              <w:jc w:val="center"/>
              <w:rPr>
                <w:rFonts w:asciiTheme="majorHAnsi" w:hAnsiTheme="majorHAnsi" w:cstheme="majorHAnsi"/>
                <w:i/>
                <w:iCs/>
                <w:lang w:val="es-ES"/>
              </w:rPr>
            </w:pPr>
            <w:r w:rsidRPr="00B50D0D">
              <w:rPr>
                <w:rFonts w:asciiTheme="majorHAnsi" w:hAnsiTheme="majorHAnsi" w:cstheme="majorHAnsi"/>
                <w:i/>
                <w:iCs/>
                <w:lang w:val="es-ES"/>
              </w:rPr>
              <w:t>Adquisición</w:t>
            </w:r>
            <w:r w:rsidR="005D4D5E" w:rsidRPr="00B50D0D">
              <w:rPr>
                <w:rFonts w:asciiTheme="majorHAnsi" w:hAnsiTheme="majorHAnsi" w:cstheme="majorHAnsi"/>
                <w:i/>
                <w:iCs/>
                <w:lang w:val="es-ES"/>
              </w:rPr>
              <w:t xml:space="preserve"> de </w:t>
            </w:r>
            <w:r w:rsidR="005C7D92">
              <w:rPr>
                <w:rFonts w:asciiTheme="majorHAnsi" w:hAnsiTheme="majorHAnsi" w:cstheme="majorHAnsi"/>
                <w:i/>
                <w:iCs/>
                <w:lang w:val="es-ES"/>
              </w:rPr>
              <w:t>Equipos</w:t>
            </w:r>
            <w:r w:rsidR="0032517F">
              <w:rPr>
                <w:rFonts w:asciiTheme="majorHAnsi" w:hAnsiTheme="majorHAnsi" w:cstheme="majorHAnsi"/>
                <w:i/>
                <w:iCs/>
                <w:lang w:val="es-ES"/>
              </w:rPr>
              <w:t xml:space="preserve"> e insumos</w:t>
            </w:r>
          </w:p>
        </w:tc>
        <w:tc>
          <w:tcPr>
            <w:tcW w:w="1006" w:type="dxa"/>
          </w:tcPr>
          <w:p w14:paraId="742A93F6" w14:textId="77777777" w:rsidR="00E84658" w:rsidRPr="00B50D0D" w:rsidRDefault="00634D71" w:rsidP="0020145F">
            <w:pPr>
              <w:pStyle w:val="Ttulo2Car"/>
              <w:suppressAutoHyphens/>
              <w:jc w:val="center"/>
              <w:rPr>
                <w:rFonts w:asciiTheme="majorHAnsi" w:hAnsiTheme="majorHAnsi" w:cstheme="majorHAnsi"/>
                <w:i/>
                <w:iCs/>
                <w:lang w:val="es-ES"/>
              </w:rPr>
            </w:pPr>
            <w:r w:rsidRPr="00B50D0D">
              <w:rPr>
                <w:rFonts w:asciiTheme="majorHAnsi" w:hAnsiTheme="majorHAnsi" w:cstheme="majorHAnsi"/>
                <w:i/>
                <w:iCs/>
                <w:lang w:val="es-ES"/>
              </w:rPr>
              <w:t>Según EETT</w:t>
            </w:r>
          </w:p>
        </w:tc>
        <w:tc>
          <w:tcPr>
            <w:tcW w:w="1262" w:type="dxa"/>
          </w:tcPr>
          <w:p w14:paraId="207B4339" w14:textId="77777777" w:rsidR="00E84658" w:rsidRPr="00B50D0D" w:rsidRDefault="005D4D5E" w:rsidP="0020145F">
            <w:pPr>
              <w:pStyle w:val="Ttulo2Car"/>
              <w:suppressAutoHyphens/>
              <w:jc w:val="center"/>
              <w:rPr>
                <w:rFonts w:asciiTheme="majorHAnsi" w:hAnsiTheme="majorHAnsi" w:cstheme="majorHAnsi"/>
                <w:i/>
                <w:iCs/>
                <w:lang w:val="es-ES"/>
              </w:rPr>
            </w:pPr>
            <w:r w:rsidRPr="00B50D0D">
              <w:rPr>
                <w:rFonts w:asciiTheme="majorHAnsi" w:hAnsiTheme="majorHAnsi" w:cstheme="majorHAnsi"/>
                <w:i/>
                <w:iCs/>
                <w:lang w:val="es-ES"/>
              </w:rPr>
              <w:t>Unidad</w:t>
            </w:r>
          </w:p>
        </w:tc>
        <w:tc>
          <w:tcPr>
            <w:tcW w:w="1843" w:type="dxa"/>
          </w:tcPr>
          <w:p w14:paraId="33CEA91D" w14:textId="025C9248" w:rsidR="00E84658" w:rsidRPr="00B50D0D" w:rsidRDefault="0032517F" w:rsidP="0020145F">
            <w:pPr>
              <w:pStyle w:val="Ttulo2Car"/>
              <w:suppressAutoHyphens/>
              <w:jc w:val="center"/>
              <w:rPr>
                <w:rFonts w:asciiTheme="majorHAnsi" w:hAnsiTheme="majorHAnsi" w:cstheme="majorHAnsi"/>
                <w:i/>
                <w:iCs/>
                <w:lang w:val="es-ES"/>
              </w:rPr>
            </w:pPr>
            <w:r>
              <w:rPr>
                <w:rFonts w:asciiTheme="majorHAnsi" w:hAnsiTheme="majorHAnsi" w:cstheme="majorHAnsi"/>
                <w:i/>
                <w:iCs/>
                <w:lang w:val="es-ES"/>
              </w:rPr>
              <w:t>Deposito de Suministro y Almacenes</w:t>
            </w:r>
          </w:p>
        </w:tc>
        <w:tc>
          <w:tcPr>
            <w:tcW w:w="4254" w:type="dxa"/>
          </w:tcPr>
          <w:p w14:paraId="556668B1" w14:textId="4C25BD9E" w:rsidR="009C47A8" w:rsidRPr="00B50D0D" w:rsidRDefault="006C3F1C" w:rsidP="00894148">
            <w:pPr>
              <w:pStyle w:val="Ttulo2Car"/>
              <w:suppressAutoHyphens/>
              <w:rPr>
                <w:rFonts w:asciiTheme="majorHAnsi" w:hAnsiTheme="majorHAnsi" w:cstheme="majorHAnsi"/>
                <w:i/>
                <w:iCs/>
                <w:lang w:val="es-ES"/>
              </w:rPr>
            </w:pPr>
            <w:r w:rsidRPr="001D5509">
              <w:rPr>
                <w:rFonts w:asciiTheme="majorHAnsi" w:hAnsiTheme="majorHAnsi" w:cstheme="majorHAnsi"/>
                <w:i/>
                <w:iCs/>
                <w:sz w:val="20"/>
                <w:szCs w:val="20"/>
                <w:highlight w:val="yellow"/>
                <w:lang w:val="es-ES"/>
              </w:rPr>
              <w:t xml:space="preserve">Si los </w:t>
            </w:r>
            <w:r w:rsidR="00DB615E">
              <w:rPr>
                <w:rFonts w:asciiTheme="majorHAnsi" w:hAnsiTheme="majorHAnsi" w:cstheme="majorHAnsi"/>
                <w:i/>
                <w:iCs/>
                <w:sz w:val="20"/>
                <w:szCs w:val="20"/>
                <w:highlight w:val="yellow"/>
                <w:lang w:val="es-ES"/>
              </w:rPr>
              <w:t>bienes</w:t>
            </w:r>
            <w:r w:rsidR="00DA25BC">
              <w:rPr>
                <w:rFonts w:asciiTheme="majorHAnsi" w:hAnsiTheme="majorHAnsi" w:cstheme="majorHAnsi"/>
                <w:i/>
                <w:iCs/>
                <w:sz w:val="20"/>
                <w:szCs w:val="20"/>
                <w:highlight w:val="yellow"/>
                <w:lang w:val="es-ES"/>
              </w:rPr>
              <w:t xml:space="preserve"> </w:t>
            </w:r>
            <w:r w:rsidRPr="001D5509">
              <w:rPr>
                <w:rFonts w:asciiTheme="majorHAnsi" w:hAnsiTheme="majorHAnsi" w:cstheme="majorHAnsi"/>
                <w:i/>
                <w:iCs/>
                <w:sz w:val="20"/>
                <w:szCs w:val="20"/>
                <w:highlight w:val="yellow"/>
                <w:lang w:val="es-ES"/>
              </w:rPr>
              <w:t xml:space="preserve">se encuentran en el país: en un </w:t>
            </w:r>
            <w:r w:rsidRPr="001D5509">
              <w:rPr>
                <w:rFonts w:asciiTheme="majorHAnsi" w:hAnsiTheme="majorHAnsi" w:cstheme="majorHAnsi"/>
                <w:b/>
                <w:i/>
                <w:iCs/>
                <w:sz w:val="20"/>
                <w:szCs w:val="20"/>
                <w:highlight w:val="yellow"/>
                <w:u w:val="single"/>
                <w:lang w:val="es-ES"/>
              </w:rPr>
              <w:t xml:space="preserve">plazo máximo de </w:t>
            </w:r>
            <w:r w:rsidR="0032517F">
              <w:rPr>
                <w:rFonts w:asciiTheme="majorHAnsi" w:hAnsiTheme="majorHAnsi" w:cstheme="majorHAnsi"/>
                <w:b/>
                <w:i/>
                <w:iCs/>
                <w:sz w:val="20"/>
                <w:szCs w:val="20"/>
                <w:highlight w:val="yellow"/>
                <w:u w:val="single"/>
                <w:lang w:val="es-ES"/>
              </w:rPr>
              <w:t>30</w:t>
            </w:r>
            <w:r w:rsidR="00451DCF">
              <w:rPr>
                <w:rFonts w:asciiTheme="majorHAnsi" w:hAnsiTheme="majorHAnsi" w:cstheme="majorHAnsi"/>
                <w:b/>
                <w:i/>
                <w:iCs/>
                <w:sz w:val="20"/>
                <w:szCs w:val="20"/>
                <w:highlight w:val="yellow"/>
                <w:u w:val="single"/>
                <w:lang w:val="es-ES"/>
              </w:rPr>
              <w:t xml:space="preserve"> (</w:t>
            </w:r>
            <w:r w:rsidR="00435E8F">
              <w:rPr>
                <w:rFonts w:asciiTheme="majorHAnsi" w:hAnsiTheme="majorHAnsi" w:cstheme="majorHAnsi"/>
                <w:b/>
                <w:i/>
                <w:iCs/>
                <w:sz w:val="20"/>
                <w:szCs w:val="20"/>
                <w:highlight w:val="yellow"/>
                <w:u w:val="single"/>
                <w:lang w:val="es-ES"/>
              </w:rPr>
              <w:t>cinco</w:t>
            </w:r>
            <w:r w:rsidR="00A71C36" w:rsidRPr="001D5509">
              <w:rPr>
                <w:rFonts w:asciiTheme="majorHAnsi" w:hAnsiTheme="majorHAnsi" w:cstheme="majorHAnsi"/>
                <w:b/>
                <w:i/>
                <w:iCs/>
                <w:sz w:val="20"/>
                <w:szCs w:val="20"/>
                <w:highlight w:val="yellow"/>
                <w:u w:val="single"/>
                <w:lang w:val="es-ES"/>
              </w:rPr>
              <w:t xml:space="preserve">) </w:t>
            </w:r>
            <w:r w:rsidR="008C6C20" w:rsidRPr="001D5509">
              <w:rPr>
                <w:rFonts w:asciiTheme="majorHAnsi" w:hAnsiTheme="majorHAnsi" w:cstheme="majorHAnsi"/>
                <w:b/>
                <w:i/>
                <w:iCs/>
                <w:sz w:val="20"/>
                <w:szCs w:val="20"/>
                <w:highlight w:val="yellow"/>
                <w:u w:val="single"/>
                <w:lang w:val="es-ES"/>
              </w:rPr>
              <w:t>días</w:t>
            </w:r>
            <w:r w:rsidR="00435E8F">
              <w:rPr>
                <w:rFonts w:asciiTheme="majorHAnsi" w:hAnsiTheme="majorHAnsi" w:cstheme="majorHAnsi"/>
                <w:b/>
                <w:i/>
                <w:iCs/>
                <w:sz w:val="20"/>
                <w:szCs w:val="20"/>
                <w:highlight w:val="yellow"/>
                <w:u w:val="single"/>
                <w:lang w:val="es-ES"/>
              </w:rPr>
              <w:t xml:space="preserve"> </w:t>
            </w:r>
            <w:r w:rsidR="0032517F">
              <w:rPr>
                <w:rFonts w:asciiTheme="majorHAnsi" w:hAnsiTheme="majorHAnsi" w:cstheme="majorHAnsi"/>
                <w:b/>
                <w:i/>
                <w:iCs/>
                <w:sz w:val="20"/>
                <w:szCs w:val="20"/>
                <w:highlight w:val="yellow"/>
                <w:u w:val="single"/>
                <w:lang w:val="es-ES"/>
              </w:rPr>
              <w:t>corridos</w:t>
            </w:r>
            <w:r w:rsidR="008C6C20" w:rsidRPr="001D5509">
              <w:rPr>
                <w:rFonts w:asciiTheme="majorHAnsi" w:hAnsiTheme="majorHAnsi" w:cstheme="majorHAnsi"/>
                <w:i/>
                <w:iCs/>
                <w:sz w:val="20"/>
                <w:szCs w:val="20"/>
                <w:highlight w:val="yellow"/>
                <w:lang w:val="es-ES"/>
              </w:rPr>
              <w:t xml:space="preserve"> desde</w:t>
            </w:r>
            <w:r w:rsidR="00321EE3">
              <w:rPr>
                <w:rFonts w:asciiTheme="majorHAnsi" w:hAnsiTheme="majorHAnsi" w:cstheme="majorHAnsi"/>
                <w:i/>
                <w:iCs/>
                <w:sz w:val="20"/>
                <w:szCs w:val="20"/>
                <w:highlight w:val="yellow"/>
                <w:lang w:val="es-ES"/>
              </w:rPr>
              <w:t xml:space="preserve"> el día siguiente de</w:t>
            </w:r>
            <w:r w:rsidR="008C6C20" w:rsidRPr="001D5509">
              <w:rPr>
                <w:rFonts w:asciiTheme="majorHAnsi" w:hAnsiTheme="majorHAnsi" w:cstheme="majorHAnsi"/>
                <w:i/>
                <w:iCs/>
                <w:sz w:val="20"/>
                <w:szCs w:val="20"/>
                <w:highlight w:val="yellow"/>
                <w:lang w:val="es-ES"/>
              </w:rPr>
              <w:t xml:space="preserve"> la notificación</w:t>
            </w:r>
            <w:r w:rsidR="00B4492E" w:rsidRPr="001D5509">
              <w:rPr>
                <w:rFonts w:asciiTheme="majorHAnsi" w:hAnsiTheme="majorHAnsi" w:cstheme="majorHAnsi"/>
                <w:i/>
                <w:iCs/>
                <w:sz w:val="20"/>
                <w:szCs w:val="20"/>
                <w:highlight w:val="yellow"/>
                <w:lang w:val="es-ES"/>
              </w:rPr>
              <w:t xml:space="preserve"> de la orden de</w:t>
            </w:r>
            <w:r w:rsidR="00E760FE" w:rsidRPr="001D5509">
              <w:rPr>
                <w:rFonts w:asciiTheme="majorHAnsi" w:hAnsiTheme="majorHAnsi" w:cstheme="majorHAnsi"/>
                <w:i/>
                <w:iCs/>
                <w:sz w:val="20"/>
                <w:szCs w:val="20"/>
                <w:highlight w:val="yellow"/>
                <w:lang w:val="es-ES"/>
              </w:rPr>
              <w:t xml:space="preserve"> compra al Proveedor adjudicado</w:t>
            </w:r>
            <w:r w:rsidR="00321EE3">
              <w:rPr>
                <w:rFonts w:asciiTheme="majorHAnsi" w:hAnsiTheme="majorHAnsi" w:cstheme="majorHAnsi"/>
                <w:i/>
                <w:iCs/>
                <w:sz w:val="20"/>
                <w:szCs w:val="20"/>
                <w:lang w:val="es-ES"/>
              </w:rPr>
              <w:t>.</w:t>
            </w:r>
            <w:r w:rsidR="00F3037E">
              <w:rPr>
                <w:rFonts w:asciiTheme="majorHAnsi" w:hAnsiTheme="majorHAnsi" w:cstheme="majorHAnsi"/>
                <w:i/>
                <w:iCs/>
                <w:sz w:val="20"/>
                <w:szCs w:val="20"/>
                <w:lang w:val="es-ES"/>
              </w:rPr>
              <w:t xml:space="preserve"> </w:t>
            </w:r>
            <w:r w:rsidR="001D5509" w:rsidRPr="001D5509">
              <w:rPr>
                <w:rFonts w:asciiTheme="majorHAnsi" w:hAnsiTheme="majorHAnsi" w:cstheme="majorHAnsi"/>
                <w:i/>
                <w:iCs/>
                <w:sz w:val="20"/>
                <w:szCs w:val="20"/>
                <w:lang w:val="es-ES"/>
              </w:rPr>
              <w:t>La notificación se realizará al correo electrónico declarado por el proveedor en el formulario de oferta.</w:t>
            </w:r>
          </w:p>
        </w:tc>
      </w:tr>
    </w:tbl>
    <w:p w14:paraId="4AC55B28" w14:textId="5F63CA43" w:rsidR="009C15B2" w:rsidRDefault="009C15B2" w:rsidP="00636C3A">
      <w:pPr>
        <w:pStyle w:val="Hipervnculo"/>
        <w:jc w:val="both"/>
        <w:rPr>
          <w:rFonts w:asciiTheme="majorHAnsi" w:hAnsiTheme="majorHAnsi" w:cstheme="majorHAnsi"/>
        </w:rPr>
      </w:pPr>
    </w:p>
    <w:p w14:paraId="1253462F" w14:textId="3B8A8B7F" w:rsidR="009C15B2" w:rsidRDefault="00581335">
      <w:pPr>
        <w:spacing w:after="160" w:line="259" w:lineRule="auto"/>
        <w:rPr>
          <w:rFonts w:asciiTheme="majorHAnsi" w:eastAsia="Times New Roman" w:hAnsiTheme="majorHAnsi" w:cstheme="majorHAnsi"/>
          <w:b/>
          <w:lang w:val="es-ES" w:eastAsia="es-ES"/>
        </w:rPr>
      </w:pPr>
      <w:r>
        <w:rPr>
          <w:rFonts w:asciiTheme="majorHAnsi" w:hAnsiTheme="majorHAnsi" w:cstheme="majorHAnsi"/>
        </w:rPr>
        <w:t xml:space="preserve">Para la entrega de los bienes se deberá comunicar la fecha y hora de entrega al correo electrónico: </w:t>
      </w:r>
      <w:hyperlink r:id="rId13" w:history="1">
        <w:r w:rsidRPr="00DC175A">
          <w:rPr>
            <w:rStyle w:val="Hipervnculo"/>
            <w:rFonts w:asciiTheme="majorHAnsi" w:hAnsiTheme="majorHAnsi" w:cstheme="majorHAnsi"/>
          </w:rPr>
          <w:t>contrataciones@rec.una.py</w:t>
        </w:r>
      </w:hyperlink>
      <w:r>
        <w:rPr>
          <w:rFonts w:asciiTheme="majorHAnsi" w:hAnsiTheme="majorHAnsi" w:cstheme="majorHAnsi"/>
        </w:rPr>
        <w:t xml:space="preserve"> 24 horas antes para coordinar la recepción de los bienes.</w:t>
      </w:r>
      <w:r w:rsidR="009C15B2">
        <w:rPr>
          <w:rFonts w:asciiTheme="majorHAnsi" w:hAnsiTheme="majorHAnsi" w:cstheme="majorHAnsi"/>
        </w:rPr>
        <w:br w:type="page"/>
      </w:r>
    </w:p>
    <w:p w14:paraId="4088E91D" w14:textId="77777777" w:rsidR="00E84658" w:rsidRDefault="00E84658" w:rsidP="00636C3A">
      <w:pPr>
        <w:pStyle w:val="Hipervnculo"/>
        <w:jc w:val="both"/>
        <w:rPr>
          <w:rFonts w:asciiTheme="majorHAnsi" w:hAnsiTheme="majorHAnsi" w:cstheme="majorHAnsi"/>
        </w:rPr>
      </w:pPr>
    </w:p>
    <w:p w14:paraId="39A48C5B" w14:textId="726611B4" w:rsidR="006A4140" w:rsidRPr="00370012" w:rsidRDefault="002A42DF" w:rsidP="002A42DF">
      <w:pPr>
        <w:pStyle w:val="Hipervncu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A3C3C"/>
        <w:tabs>
          <w:tab w:val="center" w:pos="4252"/>
        </w:tabs>
        <w:rPr>
          <w:rFonts w:asciiTheme="majorHAnsi" w:hAnsiTheme="majorHAnsi" w:cstheme="majorHAnsi"/>
        </w:rPr>
      </w:pPr>
      <w:r>
        <w:rPr>
          <w:rFonts w:asciiTheme="majorHAnsi" w:hAnsiTheme="majorHAnsi" w:cstheme="majorHAnsi"/>
        </w:rPr>
        <w:tab/>
      </w:r>
      <w:r w:rsidR="006A4140" w:rsidRPr="00370012">
        <w:rPr>
          <w:rFonts w:asciiTheme="majorHAnsi" w:hAnsiTheme="majorHAnsi" w:cstheme="majorHAnsi"/>
        </w:rPr>
        <w:t>CONDICIONES CONTRACTUALES</w:t>
      </w:r>
    </w:p>
    <w:p w14:paraId="7D94343A" w14:textId="77777777" w:rsidR="006A4140" w:rsidRPr="00370012" w:rsidRDefault="006A4140" w:rsidP="00636C3A">
      <w:pPr>
        <w:pStyle w:val="Hipervnculo"/>
        <w:jc w:val="both"/>
        <w:rPr>
          <w:rFonts w:asciiTheme="majorHAnsi" w:hAnsiTheme="majorHAnsi" w:cstheme="majorHAnsi"/>
        </w:rPr>
      </w:pPr>
    </w:p>
    <w:p w14:paraId="1046F682" w14:textId="77777777" w:rsidR="00E84658" w:rsidRPr="00F44D19" w:rsidRDefault="00F44D19" w:rsidP="00F44D19">
      <w:pPr>
        <w:pStyle w:val="Estilo2Car"/>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F44D19">
        <w:rPr>
          <w:rFonts w:asciiTheme="majorHAnsi" w:hAnsiTheme="majorHAnsi" w:cstheme="majorHAnsi"/>
        </w:rPr>
        <w:t>FORMALIZACIÓN DE LA CONTRATACIÓN</w:t>
      </w:r>
    </w:p>
    <w:p w14:paraId="0D6B9F10" w14:textId="77777777" w:rsidR="00E84658" w:rsidRPr="00370012" w:rsidRDefault="00E84658" w:rsidP="00636C3A">
      <w:pPr>
        <w:pStyle w:val="Hipervnculo"/>
        <w:jc w:val="both"/>
        <w:rPr>
          <w:rFonts w:asciiTheme="majorHAnsi" w:hAnsiTheme="majorHAnsi" w:cstheme="majorHAnsi"/>
          <w:b/>
          <w:color w:val="FF0000"/>
          <w:lang w:eastAsia="es-PY"/>
        </w:rPr>
      </w:pPr>
      <w:r w:rsidRPr="00370012">
        <w:rPr>
          <w:rFonts w:asciiTheme="majorHAnsi" w:hAnsiTheme="majorHAnsi" w:cstheme="majorHAnsi"/>
          <w:lang w:eastAsia="es-PY"/>
        </w:rPr>
        <w:t>Se formalizará esta contratación mediante</w:t>
      </w:r>
      <w:r w:rsidR="00005C62" w:rsidRPr="00370012">
        <w:rPr>
          <w:rFonts w:asciiTheme="majorHAnsi" w:hAnsiTheme="majorHAnsi" w:cstheme="majorHAnsi"/>
          <w:lang w:eastAsia="es-PY"/>
        </w:rPr>
        <w:t xml:space="preserve">: </w:t>
      </w:r>
      <w:r w:rsidR="003C58C9">
        <w:rPr>
          <w:rFonts w:asciiTheme="majorHAnsi" w:hAnsiTheme="majorHAnsi" w:cstheme="majorHAnsi"/>
          <w:i/>
          <w:u w:val="single"/>
          <w:lang w:eastAsia="es-PY"/>
        </w:rPr>
        <w:t xml:space="preserve">un </w:t>
      </w:r>
      <w:r w:rsidR="00770DE1">
        <w:rPr>
          <w:rFonts w:asciiTheme="majorHAnsi" w:hAnsiTheme="majorHAnsi" w:cstheme="majorHAnsi"/>
          <w:i/>
          <w:u w:val="single"/>
          <w:lang w:eastAsia="es-PY"/>
        </w:rPr>
        <w:t>contrato, el</w:t>
      </w:r>
      <w:r w:rsidR="003C58C9">
        <w:rPr>
          <w:rFonts w:asciiTheme="majorHAnsi" w:hAnsiTheme="majorHAnsi" w:cstheme="majorHAnsi"/>
          <w:i/>
          <w:u w:val="single"/>
          <w:lang w:eastAsia="es-PY"/>
        </w:rPr>
        <w:t xml:space="preserve"> cual deberá ser firmado en un plazo mínimo de 5</w:t>
      </w:r>
      <w:r w:rsidR="00CD58D3">
        <w:rPr>
          <w:rFonts w:asciiTheme="majorHAnsi" w:hAnsiTheme="majorHAnsi" w:cstheme="majorHAnsi"/>
          <w:i/>
          <w:u w:val="single"/>
          <w:lang w:eastAsia="es-PY"/>
        </w:rPr>
        <w:t xml:space="preserve"> (cinco)</w:t>
      </w:r>
      <w:r w:rsidR="003C58C9">
        <w:rPr>
          <w:rFonts w:asciiTheme="majorHAnsi" w:hAnsiTheme="majorHAnsi" w:cstheme="majorHAnsi"/>
          <w:i/>
          <w:u w:val="single"/>
          <w:lang w:eastAsia="es-PY"/>
        </w:rPr>
        <w:t xml:space="preserve"> días hábiles una vez cumplido el plazo de protesta.</w:t>
      </w:r>
    </w:p>
    <w:p w14:paraId="74C1E760" w14:textId="77777777" w:rsidR="00911C88" w:rsidRPr="00370012" w:rsidRDefault="00911C88" w:rsidP="00636C3A">
      <w:pPr>
        <w:pStyle w:val="Hipervnculo"/>
        <w:jc w:val="both"/>
        <w:rPr>
          <w:rFonts w:asciiTheme="majorHAnsi" w:hAnsiTheme="majorHAnsi" w:cstheme="majorHAnsi"/>
          <w:b/>
          <w:lang w:eastAsia="es-PY"/>
        </w:rPr>
      </w:pPr>
    </w:p>
    <w:p w14:paraId="4DD6416A" w14:textId="77777777" w:rsidR="00E84658" w:rsidRPr="00F44D19" w:rsidRDefault="00F44D19" w:rsidP="00F44D19">
      <w:pPr>
        <w:pStyle w:val="Estilo2Car"/>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F44D19">
        <w:rPr>
          <w:rFonts w:asciiTheme="majorHAnsi" w:hAnsiTheme="majorHAnsi" w:cstheme="majorHAnsi"/>
        </w:rPr>
        <w:t>DOCUMENTACIÓN REQUERIDA PARA LA FIRMA DEL CONTRATO</w:t>
      </w:r>
    </w:p>
    <w:p w14:paraId="2F985CF2" w14:textId="77777777" w:rsidR="00E84658" w:rsidRPr="00370012" w:rsidRDefault="00E84658" w:rsidP="00636C3A">
      <w:pPr>
        <w:pStyle w:val="Hipervnculo"/>
        <w:jc w:val="both"/>
        <w:rPr>
          <w:rFonts w:asciiTheme="majorHAnsi" w:hAnsiTheme="majorHAnsi" w:cstheme="majorHAnsi"/>
          <w:b/>
          <w:shd w:val="clear" w:color="auto" w:fill="FFFFFF"/>
        </w:rPr>
      </w:pPr>
      <w:r w:rsidRPr="00370012">
        <w:rPr>
          <w:rFonts w:asciiTheme="majorHAnsi" w:hAnsiTheme="majorHAnsi" w:cstheme="majorHAnsi"/>
          <w:shd w:val="clear" w:color="auto" w:fill="FFFFFF"/>
        </w:rPr>
        <w:t>Luego de la notificación de adjudicación, el proveedor deberá presentar en el plazo establecido en las reglamentaciones vigentes, los documentos indicados en el presente apartado.</w:t>
      </w:r>
    </w:p>
    <w:p w14:paraId="033276CD" w14:textId="77777777" w:rsidR="00E84658" w:rsidRPr="00370012" w:rsidRDefault="00E84658" w:rsidP="00D57E0D">
      <w:pPr>
        <w:pStyle w:val="Hipervnculo"/>
        <w:ind w:hanging="431"/>
        <w:jc w:val="both"/>
        <w:rPr>
          <w:rFonts w:asciiTheme="majorHAnsi" w:hAnsiTheme="majorHAnsi" w:cstheme="majorHAnsi"/>
          <w:lang w:eastAsia="es-PY"/>
        </w:rPr>
      </w:pPr>
      <w:r w:rsidRPr="00370012">
        <w:rPr>
          <w:rFonts w:asciiTheme="majorHAnsi" w:hAnsiTheme="majorHAnsi" w:cstheme="majorHAnsi"/>
          <w:lang w:eastAsia="es-PY"/>
        </w:rPr>
        <w:t>1. Personas Físicas / Jurídicas</w:t>
      </w:r>
    </w:p>
    <w:p w14:paraId="42044381" w14:textId="77777777" w:rsidR="00E84658" w:rsidRPr="00370012" w:rsidRDefault="00E84658" w:rsidP="00D57E0D">
      <w:pPr>
        <w:pStyle w:val="Hipervnculo"/>
        <w:numPr>
          <w:ilvl w:val="0"/>
          <w:numId w:val="25"/>
        </w:numPr>
        <w:ind w:left="426" w:hanging="284"/>
        <w:jc w:val="both"/>
        <w:rPr>
          <w:rFonts w:asciiTheme="majorHAnsi" w:hAnsiTheme="majorHAnsi" w:cstheme="majorHAnsi"/>
          <w:b/>
          <w:lang w:eastAsia="es-PY"/>
        </w:rPr>
      </w:pPr>
      <w:r w:rsidRPr="00370012">
        <w:rPr>
          <w:rFonts w:asciiTheme="majorHAnsi" w:hAnsiTheme="majorHAnsi" w:cstheme="majorHAnsi"/>
          <w:lang w:eastAsia="es-PY"/>
        </w:rPr>
        <w:t>Certificado de no encontrarse en quiebra o en convocatoria de acreedores expedido por la Dirección General de Registros Públicos;</w:t>
      </w:r>
    </w:p>
    <w:p w14:paraId="389E8C13" w14:textId="77777777" w:rsidR="00E84658" w:rsidRPr="00370012" w:rsidRDefault="00E84658" w:rsidP="00D57E0D">
      <w:pPr>
        <w:pStyle w:val="Hipervnculo"/>
        <w:numPr>
          <w:ilvl w:val="0"/>
          <w:numId w:val="25"/>
        </w:numPr>
        <w:ind w:left="426" w:hanging="284"/>
        <w:jc w:val="both"/>
        <w:rPr>
          <w:rFonts w:asciiTheme="majorHAnsi" w:hAnsiTheme="majorHAnsi" w:cstheme="majorHAnsi"/>
          <w:b/>
          <w:lang w:eastAsia="es-PY"/>
        </w:rPr>
      </w:pPr>
      <w:r w:rsidRPr="00370012">
        <w:rPr>
          <w:rFonts w:asciiTheme="majorHAnsi" w:hAnsiTheme="majorHAnsi" w:cstheme="majorHAnsi"/>
          <w:lang w:eastAsia="es-PY"/>
        </w:rPr>
        <w:t>Certificado de no hallarse en interdicción judicial expedido por la Dirección General de Registros Públicos; Constancia de no adeudar aporte obrero patronal expedida por el Instituto de Previsión Social.</w:t>
      </w:r>
    </w:p>
    <w:p w14:paraId="35708813" w14:textId="77777777" w:rsidR="00E84658" w:rsidRPr="00370012" w:rsidRDefault="00E84658" w:rsidP="00D57E0D">
      <w:pPr>
        <w:pStyle w:val="Hipervnculo"/>
        <w:numPr>
          <w:ilvl w:val="0"/>
          <w:numId w:val="25"/>
        </w:numPr>
        <w:ind w:left="426" w:hanging="284"/>
        <w:jc w:val="both"/>
        <w:rPr>
          <w:rFonts w:asciiTheme="majorHAnsi" w:hAnsiTheme="majorHAnsi" w:cstheme="majorHAnsi"/>
          <w:b/>
          <w:lang w:eastAsia="es-PY"/>
        </w:rPr>
      </w:pPr>
      <w:r w:rsidRPr="00370012">
        <w:rPr>
          <w:rFonts w:asciiTheme="majorHAnsi" w:hAnsiTheme="majorHAnsi" w:cstheme="majorHAnsi"/>
          <w:lang w:eastAsia="es-PY"/>
        </w:rPr>
        <w:t>Certificado laboral vigente expedido por la Dirección de Obrero Patronal dependiente del Viceministerio de Trabajo, siempre que el sujeto esté obligado a contar con el mismo, de conformidad a la reglamentación pertinente - CPS</w:t>
      </w:r>
    </w:p>
    <w:p w14:paraId="39210C35" w14:textId="77777777" w:rsidR="00E84658" w:rsidRPr="00370012" w:rsidRDefault="00E84658" w:rsidP="00D57E0D">
      <w:pPr>
        <w:pStyle w:val="Hipervnculo"/>
        <w:numPr>
          <w:ilvl w:val="0"/>
          <w:numId w:val="25"/>
        </w:numPr>
        <w:ind w:left="426" w:hanging="284"/>
        <w:jc w:val="both"/>
        <w:rPr>
          <w:rFonts w:asciiTheme="majorHAnsi" w:hAnsiTheme="majorHAnsi" w:cstheme="majorHAnsi"/>
          <w:b/>
          <w:lang w:eastAsia="es-PY"/>
        </w:rPr>
      </w:pPr>
      <w:r w:rsidRPr="00370012">
        <w:rPr>
          <w:rFonts w:asciiTheme="majorHAnsi" w:hAnsiTheme="majorHAnsi" w:cstheme="majorHAnsi"/>
          <w:lang w:eastAsia="es-PY"/>
        </w:rPr>
        <w:t>En el caso que suscriba el contrato otra persona en su representación, acompañar poder suficiente del apoderado para asumir todas las obligaciones emergentes del contrato hasta su terminación.</w:t>
      </w:r>
    </w:p>
    <w:p w14:paraId="43DE15C9" w14:textId="77777777" w:rsidR="00E84658" w:rsidRPr="00370012" w:rsidRDefault="00E84658" w:rsidP="00D57E0D">
      <w:pPr>
        <w:pStyle w:val="Hipervnculo"/>
        <w:numPr>
          <w:ilvl w:val="0"/>
          <w:numId w:val="25"/>
        </w:numPr>
        <w:ind w:left="426" w:hanging="284"/>
        <w:jc w:val="both"/>
        <w:rPr>
          <w:rFonts w:asciiTheme="majorHAnsi" w:hAnsiTheme="majorHAnsi" w:cstheme="majorHAnsi"/>
          <w:b/>
          <w:lang w:eastAsia="es-PY"/>
        </w:rPr>
      </w:pPr>
      <w:r w:rsidRPr="00370012">
        <w:rPr>
          <w:rFonts w:asciiTheme="majorHAnsi" w:hAnsiTheme="majorHAnsi" w:cstheme="majorHAnsi"/>
          <w:lang w:eastAsia="es-PY"/>
        </w:rPr>
        <w:t>Certificado de cumplimiento tributario vigente a la firma del contrato.</w:t>
      </w:r>
    </w:p>
    <w:p w14:paraId="39F69344" w14:textId="77777777" w:rsidR="00E84658" w:rsidRPr="00370012" w:rsidRDefault="00E84658" w:rsidP="00D57E0D">
      <w:pPr>
        <w:pStyle w:val="Hipervnculo"/>
        <w:ind w:hanging="431"/>
        <w:jc w:val="both"/>
        <w:rPr>
          <w:rFonts w:asciiTheme="majorHAnsi" w:hAnsiTheme="majorHAnsi" w:cstheme="majorHAnsi"/>
          <w:lang w:eastAsia="es-PY"/>
        </w:rPr>
      </w:pPr>
      <w:r w:rsidRPr="00370012">
        <w:rPr>
          <w:rFonts w:asciiTheme="majorHAnsi" w:hAnsiTheme="majorHAnsi" w:cstheme="majorHAnsi"/>
          <w:lang w:eastAsia="es-PY"/>
        </w:rPr>
        <w:t>2. Documentos. Consorcios</w:t>
      </w:r>
    </w:p>
    <w:p w14:paraId="437C69F9" w14:textId="77777777" w:rsidR="00E84658" w:rsidRPr="00370012" w:rsidRDefault="00E84658" w:rsidP="00D57E0D">
      <w:pPr>
        <w:pStyle w:val="Hipervnculo"/>
        <w:numPr>
          <w:ilvl w:val="0"/>
          <w:numId w:val="26"/>
        </w:numPr>
        <w:ind w:left="426" w:hanging="284"/>
        <w:jc w:val="both"/>
        <w:rPr>
          <w:rFonts w:asciiTheme="majorHAnsi" w:hAnsiTheme="majorHAnsi" w:cstheme="majorHAnsi"/>
          <w:b/>
          <w:lang w:eastAsia="es-PY"/>
        </w:rPr>
      </w:pPr>
      <w:r w:rsidRPr="00370012">
        <w:rPr>
          <w:rFonts w:asciiTheme="majorHAnsi" w:hAnsiTheme="majorHAnsi" w:cstheme="majorHAnsi"/>
          <w:lang w:eastAsia="es-PY"/>
        </w:rPr>
        <w:t>Cada integrante del Consorcio que sea una persona física o jurídica deberá presentar los documentos requeridos para oferentes individuales especificados en los apartados precedentes.</w:t>
      </w:r>
    </w:p>
    <w:p w14:paraId="16FA603C" w14:textId="77777777" w:rsidR="00E84658" w:rsidRPr="00370012" w:rsidRDefault="00E84658" w:rsidP="00D57E0D">
      <w:pPr>
        <w:pStyle w:val="Hipervnculo"/>
        <w:numPr>
          <w:ilvl w:val="0"/>
          <w:numId w:val="26"/>
        </w:numPr>
        <w:ind w:left="426" w:hanging="284"/>
        <w:jc w:val="both"/>
        <w:rPr>
          <w:rFonts w:asciiTheme="majorHAnsi" w:hAnsiTheme="majorHAnsi" w:cstheme="majorHAnsi"/>
          <w:b/>
          <w:lang w:eastAsia="es-PY"/>
        </w:rPr>
      </w:pPr>
      <w:r w:rsidRPr="00370012">
        <w:rPr>
          <w:rFonts w:asciiTheme="majorHAnsi" w:hAnsiTheme="majorHAnsi" w:cstheme="majorHAnsi"/>
          <w:lang w:eastAsia="es-PY"/>
        </w:rPr>
        <w:t>Original o fotocopia del Consorcio constituido</w:t>
      </w:r>
    </w:p>
    <w:p w14:paraId="1E4A8B0E" w14:textId="77777777" w:rsidR="00E84658" w:rsidRPr="00370012" w:rsidRDefault="00E84658" w:rsidP="00D57E0D">
      <w:pPr>
        <w:pStyle w:val="Hipervnculo"/>
        <w:numPr>
          <w:ilvl w:val="0"/>
          <w:numId w:val="26"/>
        </w:numPr>
        <w:ind w:left="426" w:hanging="284"/>
        <w:jc w:val="both"/>
        <w:rPr>
          <w:rFonts w:asciiTheme="majorHAnsi" w:hAnsiTheme="majorHAnsi" w:cstheme="majorHAnsi"/>
          <w:b/>
          <w:lang w:eastAsia="es-PY"/>
        </w:rPr>
      </w:pPr>
      <w:r w:rsidRPr="00370012">
        <w:rPr>
          <w:rFonts w:asciiTheme="majorHAnsi" w:hAnsiTheme="majorHAnsi" w:cstheme="majorHAnsi"/>
          <w:lang w:eastAsia="es-PY"/>
        </w:rPr>
        <w:t>Documentos que acrediten las facultades del firmante del contrato para comprometer solidariamente al consorcio.</w:t>
      </w:r>
    </w:p>
    <w:p w14:paraId="2CC566D6" w14:textId="77777777" w:rsidR="00E84658" w:rsidRPr="00370012" w:rsidRDefault="00E84658" w:rsidP="00D57E0D">
      <w:pPr>
        <w:pStyle w:val="Hipervnculo"/>
        <w:numPr>
          <w:ilvl w:val="0"/>
          <w:numId w:val="26"/>
        </w:numPr>
        <w:ind w:left="426" w:hanging="284"/>
        <w:jc w:val="both"/>
        <w:rPr>
          <w:rFonts w:asciiTheme="majorHAnsi" w:hAnsiTheme="majorHAnsi" w:cstheme="majorHAnsi"/>
          <w:b/>
          <w:lang w:eastAsia="es-PY"/>
        </w:rPr>
      </w:pPr>
      <w:r w:rsidRPr="00370012">
        <w:rPr>
          <w:rFonts w:asciiTheme="majorHAnsi" w:hAnsiTheme="majorHAnsi" w:cstheme="majorHAnsi"/>
          <w:lang w:eastAsia="es-PY"/>
        </w:rPr>
        <w:t>En el caso que suscriba el contrato otra persona en su representación, acompañar poder suficiente del apoderado para asumir todas las obligaciones emergentes del contrato hasta su terminación.</w:t>
      </w:r>
    </w:p>
    <w:p w14:paraId="2C06F5E9" w14:textId="77777777" w:rsidR="00E84658" w:rsidRPr="00370012" w:rsidRDefault="00E84658" w:rsidP="001B3BCC">
      <w:pPr>
        <w:spacing w:after="0"/>
        <w:jc w:val="both"/>
        <w:rPr>
          <w:rFonts w:asciiTheme="majorHAnsi" w:eastAsia="Times New Roman" w:hAnsiTheme="majorHAnsi" w:cstheme="majorHAnsi"/>
          <w:lang w:val="es-ES" w:eastAsia="es-PY"/>
        </w:rPr>
      </w:pPr>
      <w:r w:rsidRPr="00370012">
        <w:rPr>
          <w:rFonts w:asciiTheme="majorHAnsi" w:eastAsia="Times New Roman" w:hAnsiTheme="majorHAnsi" w:cstheme="majorHAnsi"/>
          <w:lang w:val="es-ES" w:eastAsia="es-PY"/>
        </w:rPr>
        <w:t>La convocante deberá requerir la presentación de los certificados, de conformidad al numeral 1.1, al oferente que resultare adjudicado, con anterioridad a la firma del contrato. Si el oferente no presentare dichos certificados o realizare una declaración jurada falsa, la adjudicación será revocada, la garantía de mantenimiento de oferta será ejecutada y los antecedentes serán remitidos a la Dirección Nacional de Contrataciones Públicas.</w:t>
      </w:r>
    </w:p>
    <w:p w14:paraId="2214C124" w14:textId="77777777" w:rsidR="00E84658" w:rsidRPr="00370012" w:rsidRDefault="00E84658" w:rsidP="00636C3A">
      <w:pPr>
        <w:pStyle w:val="Hipervnculo"/>
        <w:jc w:val="both"/>
        <w:rPr>
          <w:rFonts w:asciiTheme="majorHAnsi" w:hAnsiTheme="majorHAnsi" w:cstheme="majorHAnsi"/>
          <w:b/>
          <w:color w:val="000000"/>
          <w:lang w:eastAsia="es-PY"/>
        </w:rPr>
      </w:pPr>
    </w:p>
    <w:p w14:paraId="11423F39" w14:textId="77777777" w:rsidR="00E84658" w:rsidRPr="00AD14EB" w:rsidRDefault="00AD14EB" w:rsidP="00AD14EB">
      <w:pPr>
        <w:pStyle w:val="Estilo2Car"/>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lastRenderedPageBreak/>
        <w:t>CONFIDENCIALIDAD DE LA INFORMACIÓN</w:t>
      </w:r>
    </w:p>
    <w:p w14:paraId="35802993"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1. No deberá darse a conocer información alguna acerca del análisis, aclaración y evaluación de las ofertas, mientras dure el mismo</w:t>
      </w:r>
      <w:r w:rsidR="001B3BCC" w:rsidRPr="00370012">
        <w:rPr>
          <w:rFonts w:asciiTheme="majorHAnsi" w:eastAsia="Times New Roman" w:hAnsiTheme="majorHAnsi" w:cstheme="majorHAnsi"/>
          <w:color w:val="000000"/>
          <w:lang w:eastAsia="es-PY"/>
        </w:rPr>
        <w:t>.</w:t>
      </w:r>
      <w:r w:rsidRPr="00370012">
        <w:rPr>
          <w:rFonts w:asciiTheme="majorHAnsi" w:eastAsia="Times New Roman" w:hAnsiTheme="majorHAnsi" w:cstheme="majorHAnsi"/>
          <w:color w:val="000000"/>
          <w:lang w:eastAsia="es-PY"/>
        </w:rPr>
        <w:t xml:space="preserve"> </w:t>
      </w:r>
    </w:p>
    <w:p w14:paraId="10C7CB44" w14:textId="77777777" w:rsidR="005245C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 xml:space="preserve">2. La contratante y el proveedor deberán mantener confidencialidad y en ningún momento divulgarán a terceros, sin el consentimiento de la otra parte, documentos, datos u otra información que hubiera sido directa o indirectamente proporcionada por la otra parte en conexión con el contrato, antes, durante o después de la ejecución del mismo. </w:t>
      </w:r>
    </w:p>
    <w:p w14:paraId="5BCDA187"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3. La contratante no utilizará dichos documentos, datos u otra información recibida del proveedor para ningún uso que no esté relacionado con el contrato. Así mismo el proveedor no utilizará los documentos, datos u otra información recibida de la contratante para ningún otro propósito diferente al de la ejecución del contrato.</w:t>
      </w:r>
    </w:p>
    <w:p w14:paraId="7ABAB03A"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4. La obligación de las partes arriba mencionadas, no aplicará a la información que:</w:t>
      </w:r>
    </w:p>
    <w:p w14:paraId="67078865"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La contratante o el proveedor requieran compartir con otras instituciones que participan en el financiamiento del contrato,</w:t>
      </w:r>
    </w:p>
    <w:p w14:paraId="2708771D"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Actualmente o en el futuro se hace de dominio público sin culpa de ninguna de las partes,</w:t>
      </w:r>
    </w:p>
    <w:p w14:paraId="0ACE6702"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Puede comprobarse que estaba en posesión de esa parte en el momento que fue divulgada y no fue previamente obtenida directa o indirectamente de la otra parte, o</w:t>
      </w:r>
    </w:p>
    <w:p w14:paraId="2B52788B"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Que de otra manera fue legalmente puesta a la disponibilidad de esa parte por un tercero que no tenía obligación de confidencialidad.</w:t>
      </w:r>
    </w:p>
    <w:p w14:paraId="15E7248C" w14:textId="77777777" w:rsidR="00E84658" w:rsidRPr="00DD59A7"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5. Las disposiciones precedentes no modificarán de ninguna manera ningún compromiso de confidencialidad otorgado por cualquiera de las partes a quien esto compete antes de la fecha del contrato con respecto a los suministros o cualquier parte de ellos.</w:t>
      </w:r>
    </w:p>
    <w:p w14:paraId="5F71BD3D"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DD59A7">
        <w:rPr>
          <w:rFonts w:asciiTheme="majorHAnsi" w:eastAsia="Times New Roman" w:hAnsiTheme="majorHAnsi" w:cstheme="majorHAnsi"/>
          <w:color w:val="000000"/>
          <w:lang w:eastAsia="es-PY"/>
        </w:rPr>
        <w:t>6. Las disposiciones de esta cláusula permanecerán válidas después del cumplimiento o terminación del contrato por cualquier razón.</w:t>
      </w:r>
    </w:p>
    <w:p w14:paraId="2975B7B6" w14:textId="77777777" w:rsidR="00E84658" w:rsidRPr="00370012" w:rsidRDefault="00E84658" w:rsidP="00636C3A">
      <w:pPr>
        <w:pStyle w:val="Hipervnculo"/>
        <w:jc w:val="both"/>
        <w:rPr>
          <w:rFonts w:asciiTheme="majorHAnsi" w:hAnsiTheme="majorHAnsi" w:cstheme="majorHAnsi"/>
        </w:rPr>
      </w:pPr>
    </w:p>
    <w:p w14:paraId="24157FD6" w14:textId="77777777" w:rsidR="00E84658" w:rsidRPr="00AD14EB" w:rsidRDefault="00AD14EB" w:rsidP="00AD14EB">
      <w:pPr>
        <w:pStyle w:val="Estilo2Car"/>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PORCENTAJE DE GARANTÍA DE FIEL CUMPLIMIENTO DE CONTRATO</w:t>
      </w:r>
    </w:p>
    <w:p w14:paraId="67D5E97D" w14:textId="77777777" w:rsidR="00E84658" w:rsidRPr="00370012" w:rsidRDefault="00E84658" w:rsidP="00636C3A">
      <w:pPr>
        <w:spacing w:after="0"/>
        <w:jc w:val="both"/>
        <w:rPr>
          <w:rFonts w:asciiTheme="majorHAnsi" w:eastAsia="Times New Roman" w:hAnsiTheme="majorHAnsi" w:cstheme="majorHAnsi"/>
          <w:i/>
          <w:color w:val="FF0000"/>
          <w:lang w:eastAsia="es-PY"/>
        </w:rPr>
      </w:pPr>
      <w:r w:rsidRPr="00370012">
        <w:rPr>
          <w:rFonts w:asciiTheme="majorHAnsi" w:eastAsia="Times New Roman" w:hAnsiTheme="majorHAnsi" w:cstheme="majorHAnsi"/>
          <w:lang w:eastAsia="es-PY"/>
        </w:rPr>
        <w:t>El Porcentaje de Garantía de Fiel Cumplimiento de Contrato es de</w:t>
      </w:r>
      <w:r w:rsidR="008644BA" w:rsidRPr="00E12829">
        <w:rPr>
          <w:rFonts w:asciiTheme="majorHAnsi" w:eastAsia="Times New Roman" w:hAnsiTheme="majorHAnsi" w:cstheme="majorHAnsi"/>
          <w:b/>
          <w:i/>
          <w:lang w:eastAsia="es-PY"/>
        </w:rPr>
        <w:t xml:space="preserve">: </w:t>
      </w:r>
      <w:r w:rsidR="00C64380" w:rsidRPr="00E12829">
        <w:rPr>
          <w:rFonts w:asciiTheme="majorHAnsi" w:eastAsia="Times New Roman" w:hAnsiTheme="majorHAnsi" w:cstheme="majorHAnsi"/>
          <w:b/>
          <w:i/>
          <w:u w:val="single"/>
          <w:lang w:eastAsia="es-PY"/>
        </w:rPr>
        <w:t>10</w:t>
      </w:r>
      <w:r w:rsidR="00D32BD7">
        <w:rPr>
          <w:rFonts w:asciiTheme="majorHAnsi" w:eastAsia="Times New Roman" w:hAnsiTheme="majorHAnsi" w:cstheme="majorHAnsi"/>
          <w:b/>
          <w:i/>
          <w:u w:val="single"/>
          <w:lang w:eastAsia="es-PY"/>
        </w:rPr>
        <w:t xml:space="preserve"> (diez) </w:t>
      </w:r>
      <w:r w:rsidR="008644BA" w:rsidRPr="00E12829">
        <w:rPr>
          <w:rFonts w:asciiTheme="majorHAnsi" w:eastAsia="Times New Roman" w:hAnsiTheme="majorHAnsi" w:cstheme="majorHAnsi"/>
          <w:b/>
          <w:i/>
          <w:u w:val="single"/>
          <w:lang w:eastAsia="es-PY"/>
        </w:rPr>
        <w:t>%</w:t>
      </w:r>
    </w:p>
    <w:p w14:paraId="146B5BD2" w14:textId="77777777" w:rsidR="00E84658" w:rsidRPr="00370012" w:rsidRDefault="00E84658" w:rsidP="00636C3A">
      <w:pPr>
        <w:spacing w:after="0"/>
        <w:jc w:val="both"/>
        <w:rPr>
          <w:rFonts w:asciiTheme="majorHAnsi" w:eastAsia="Times New Roman" w:hAnsiTheme="majorHAnsi" w:cstheme="majorHAnsi"/>
          <w:lang w:eastAsia="es-PY"/>
        </w:rPr>
      </w:pPr>
    </w:p>
    <w:p w14:paraId="75AE40FB" w14:textId="77777777" w:rsidR="00E84658" w:rsidRPr="00AD14EB" w:rsidRDefault="00AD14EB" w:rsidP="00AD14EB">
      <w:pPr>
        <w:pStyle w:val="Estilo2Car"/>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FORMA DE INSTRUMENTACIÓN DE GARANTÍA DE FIEL CUMPLIMIENTO DE CONTRATO</w:t>
      </w:r>
    </w:p>
    <w:p w14:paraId="38FFD824" w14:textId="77777777" w:rsidR="00BB39E8" w:rsidRPr="00370012" w:rsidRDefault="00E84658" w:rsidP="00BB39E8">
      <w:pPr>
        <w:autoSpaceDE w:val="0"/>
        <w:autoSpaceDN w:val="0"/>
        <w:adjustRightInd w:val="0"/>
        <w:spacing w:after="0" w:line="240" w:lineRule="auto"/>
        <w:rPr>
          <w:rFonts w:asciiTheme="majorHAnsi" w:eastAsia="Times New Roman" w:hAnsiTheme="majorHAnsi" w:cstheme="majorHAnsi"/>
          <w:lang w:eastAsia="es-PY"/>
        </w:rPr>
      </w:pPr>
      <w:r w:rsidRPr="00370012">
        <w:rPr>
          <w:rFonts w:asciiTheme="majorHAnsi" w:eastAsia="Times New Roman" w:hAnsiTheme="majorHAnsi" w:cstheme="majorHAnsi"/>
          <w:lang w:eastAsia="es-PY"/>
        </w:rPr>
        <w:t>La garantía adoptará alguna de las siguientes formas:</w:t>
      </w:r>
    </w:p>
    <w:p w14:paraId="71CA6220" w14:textId="77777777" w:rsidR="00064A84" w:rsidRPr="00430911" w:rsidRDefault="00064A84" w:rsidP="0027167B">
      <w:pPr>
        <w:pStyle w:val="Ttulo2Car"/>
        <w:autoSpaceDE w:val="0"/>
        <w:autoSpaceDN w:val="0"/>
        <w:spacing w:line="240" w:lineRule="auto"/>
        <w:ind w:left="426"/>
        <w:contextualSpacing/>
        <w:rPr>
          <w:rFonts w:asciiTheme="majorHAnsi" w:hAnsiTheme="majorHAnsi" w:cstheme="majorHAnsi"/>
          <w:b/>
          <w:i/>
          <w:lang w:eastAsia="es-PY"/>
        </w:rPr>
      </w:pPr>
      <w:r w:rsidRPr="00430911">
        <w:rPr>
          <w:rFonts w:asciiTheme="majorHAnsi" w:hAnsiTheme="majorHAnsi" w:cstheme="majorHAnsi"/>
          <w:b/>
          <w:i/>
          <w:u w:val="single"/>
          <w:lang w:eastAsia="es-PY"/>
        </w:rPr>
        <w:t>Póliza</w:t>
      </w:r>
      <w:r w:rsidR="00FB3C98" w:rsidRPr="00430911">
        <w:rPr>
          <w:rFonts w:asciiTheme="majorHAnsi" w:hAnsiTheme="majorHAnsi" w:cstheme="majorHAnsi"/>
          <w:b/>
          <w:i/>
          <w:u w:val="single"/>
          <w:lang w:eastAsia="es-PY"/>
        </w:rPr>
        <w:t xml:space="preserve"> de contrato por el monto total adjudicado</w:t>
      </w:r>
      <w:r w:rsidRPr="00430911">
        <w:rPr>
          <w:rFonts w:asciiTheme="majorHAnsi" w:hAnsiTheme="majorHAnsi" w:cstheme="majorHAnsi"/>
          <w:b/>
          <w:i/>
          <w:lang w:eastAsia="es-PY"/>
        </w:rPr>
        <w:t xml:space="preserve"> para adquisiciones superiores al monto de Gs. 5.000.000 (guaraníes cinco millones)</w:t>
      </w:r>
    </w:p>
    <w:p w14:paraId="7C23623A" w14:textId="77777777" w:rsidR="00E84658" w:rsidRPr="00370012" w:rsidRDefault="00E84658" w:rsidP="00636C3A">
      <w:pPr>
        <w:spacing w:after="0"/>
        <w:jc w:val="both"/>
        <w:rPr>
          <w:rFonts w:asciiTheme="majorHAnsi" w:eastAsia="Times New Roman" w:hAnsiTheme="majorHAnsi" w:cstheme="majorHAnsi"/>
          <w:lang w:eastAsia="es-PY"/>
        </w:rPr>
      </w:pPr>
    </w:p>
    <w:p w14:paraId="747C4DF8" w14:textId="77777777" w:rsidR="00E84658" w:rsidRPr="00AD14EB" w:rsidRDefault="00CE4447" w:rsidP="00AD14EB">
      <w:pPr>
        <w:pStyle w:val="Estilo2Car"/>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PERIODO DE VALIDEZ DE LA GARANTÍA DE CUMPLIMIENTO DE CONTRATO</w:t>
      </w:r>
    </w:p>
    <w:p w14:paraId="5FC80985" w14:textId="359425C0" w:rsidR="00E84658" w:rsidRPr="0059322D" w:rsidRDefault="00E84658" w:rsidP="00DB615E">
      <w:pPr>
        <w:spacing w:after="0"/>
        <w:ind w:left="708" w:hanging="708"/>
        <w:jc w:val="both"/>
        <w:rPr>
          <w:rFonts w:asciiTheme="majorHAnsi" w:eastAsia="Times New Roman" w:hAnsiTheme="majorHAnsi" w:cstheme="majorHAnsi"/>
          <w:b/>
          <w:i/>
          <w:u w:val="single"/>
          <w:lang w:eastAsia="es-PY"/>
        </w:rPr>
      </w:pPr>
      <w:r w:rsidRPr="00370012">
        <w:rPr>
          <w:rFonts w:asciiTheme="majorHAnsi" w:eastAsia="Times New Roman" w:hAnsiTheme="majorHAnsi" w:cstheme="majorHAnsi"/>
          <w:lang w:eastAsia="es-PY"/>
        </w:rPr>
        <w:t>El plazo de vigencia de la Garantía de Fiel Cumplimiento de Contrato será</w:t>
      </w:r>
      <w:r w:rsidR="00DB615E">
        <w:rPr>
          <w:rFonts w:asciiTheme="majorHAnsi" w:eastAsia="Times New Roman" w:hAnsiTheme="majorHAnsi" w:cstheme="majorHAnsi"/>
          <w:lang w:eastAsia="es-PY"/>
        </w:rPr>
        <w:t xml:space="preserve"> hasta el </w:t>
      </w:r>
      <w:r w:rsidR="00DB615E" w:rsidRPr="00DB615E">
        <w:rPr>
          <w:rFonts w:asciiTheme="majorHAnsi" w:eastAsia="Times New Roman" w:hAnsiTheme="majorHAnsi" w:cstheme="majorHAnsi"/>
          <w:b/>
          <w:bCs/>
          <w:lang w:eastAsia="es-PY"/>
        </w:rPr>
        <w:t>31/12/2025</w:t>
      </w:r>
    </w:p>
    <w:p w14:paraId="182218D9" w14:textId="77777777" w:rsidR="001B3BCC" w:rsidRPr="00370012" w:rsidRDefault="001B3BCC" w:rsidP="00636C3A">
      <w:pPr>
        <w:spacing w:after="0"/>
        <w:jc w:val="both"/>
        <w:rPr>
          <w:rFonts w:asciiTheme="majorHAnsi" w:eastAsia="Times New Roman" w:hAnsiTheme="majorHAnsi" w:cstheme="majorHAnsi"/>
          <w:lang w:eastAsia="es-PY"/>
        </w:rPr>
      </w:pPr>
    </w:p>
    <w:p w14:paraId="6F1FF507" w14:textId="77777777" w:rsidR="00E84658" w:rsidRPr="00AD14EB" w:rsidRDefault="00AD14EB" w:rsidP="00AD14EB">
      <w:pPr>
        <w:pStyle w:val="Estilo2Car"/>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AD14EB">
        <w:rPr>
          <w:rFonts w:asciiTheme="majorHAnsi" w:hAnsiTheme="majorHAnsi" w:cstheme="majorHAnsi"/>
        </w:rPr>
        <w:t>FORMAS Y CONDICIONES DE PAGO</w:t>
      </w:r>
    </w:p>
    <w:p w14:paraId="3807F039" w14:textId="77777777" w:rsidR="00FD4181" w:rsidRPr="00370012" w:rsidRDefault="00E84658" w:rsidP="00636C3A">
      <w:pPr>
        <w:spacing w:after="0"/>
        <w:jc w:val="both"/>
        <w:rPr>
          <w:rFonts w:asciiTheme="majorHAnsi" w:eastAsiaTheme="minorHAnsi" w:hAnsiTheme="majorHAnsi" w:cstheme="majorHAnsi"/>
          <w:lang w:eastAsia="es-PY"/>
        </w:rPr>
      </w:pPr>
      <w:bookmarkStart w:id="17" w:name="_Hlk32828097"/>
      <w:r w:rsidRPr="00370012">
        <w:rPr>
          <w:rFonts w:asciiTheme="majorHAnsi" w:eastAsiaTheme="minorHAnsi" w:hAnsiTheme="majorHAnsi" w:cstheme="majorHAnsi"/>
          <w:lang w:eastAsia="es-PY"/>
        </w:rPr>
        <w:t>Otras formas y condiciones de pago al proveedor en virtud del contrato serán las siguientes</w:t>
      </w:r>
      <w:r w:rsidR="00FD4181" w:rsidRPr="00370012">
        <w:rPr>
          <w:rFonts w:asciiTheme="majorHAnsi" w:eastAsiaTheme="minorHAnsi" w:hAnsiTheme="majorHAnsi" w:cstheme="majorHAnsi"/>
          <w:lang w:eastAsia="es-PY"/>
        </w:rPr>
        <w:t>:</w:t>
      </w:r>
    </w:p>
    <w:p w14:paraId="23979D17" w14:textId="77777777" w:rsidR="00E84658" w:rsidRPr="00370012" w:rsidRDefault="00E84658" w:rsidP="00636C3A">
      <w:pPr>
        <w:spacing w:after="0"/>
        <w:jc w:val="both"/>
        <w:rPr>
          <w:rFonts w:asciiTheme="majorHAnsi" w:hAnsiTheme="majorHAnsi" w:cstheme="majorHAnsi"/>
          <w:color w:val="000000"/>
          <w:lang w:eastAsia="es-PY"/>
        </w:rPr>
      </w:pPr>
      <w:r w:rsidRPr="00370012">
        <w:rPr>
          <w:rFonts w:asciiTheme="majorHAnsi" w:hAnsiTheme="majorHAnsi" w:cstheme="majorHAnsi"/>
          <w:color w:val="000000"/>
          <w:lang w:eastAsia="es-PY"/>
        </w:rPr>
        <w:t>El adjudicado para solicitar el pago de las obligaciones deberá presentar la solicitud acompañada de los siguientes documentos:</w:t>
      </w:r>
    </w:p>
    <w:p w14:paraId="0A7241CB" w14:textId="77777777" w:rsidR="00E84658" w:rsidRPr="00370012" w:rsidRDefault="00E84658" w:rsidP="00545981">
      <w:pPr>
        <w:spacing w:after="0" w:line="240" w:lineRule="auto"/>
        <w:jc w:val="both"/>
        <w:rPr>
          <w:rFonts w:asciiTheme="majorHAnsi" w:hAnsiTheme="majorHAnsi" w:cstheme="majorHAnsi"/>
          <w:b/>
          <w:color w:val="000000"/>
          <w:lang w:eastAsia="es-PY"/>
        </w:rPr>
      </w:pPr>
      <w:r w:rsidRPr="00370012">
        <w:rPr>
          <w:rFonts w:asciiTheme="majorHAnsi" w:hAnsiTheme="majorHAnsi" w:cstheme="majorHAnsi"/>
          <w:b/>
          <w:color w:val="000000"/>
          <w:lang w:eastAsia="es-PY"/>
        </w:rPr>
        <w:t>1. Documentos Genéricos:</w:t>
      </w:r>
    </w:p>
    <w:p w14:paraId="5C52B254" w14:textId="77777777" w:rsidR="00E84658" w:rsidRPr="00545981" w:rsidRDefault="00E84658" w:rsidP="00545981">
      <w:pPr>
        <w:pStyle w:val="Ttulo2Car"/>
        <w:numPr>
          <w:ilvl w:val="0"/>
          <w:numId w:val="27"/>
        </w:numPr>
        <w:spacing w:line="240" w:lineRule="auto"/>
        <w:rPr>
          <w:rFonts w:asciiTheme="majorHAnsi" w:hAnsiTheme="majorHAnsi" w:cstheme="majorHAnsi"/>
          <w:b/>
          <w:i/>
          <w:u w:val="single"/>
          <w:lang w:eastAsia="es-PY"/>
        </w:rPr>
      </w:pPr>
      <w:r w:rsidRPr="00545981">
        <w:rPr>
          <w:rFonts w:asciiTheme="majorHAnsi" w:hAnsiTheme="majorHAnsi" w:cstheme="majorHAnsi"/>
          <w:b/>
          <w:i/>
          <w:u w:val="single"/>
          <w:lang w:eastAsia="es-PY"/>
        </w:rPr>
        <w:t>La factura de pago, con timbrado vigente, la cual deberán expresar claramente por separado el Impuesto al Valor Agregado (IVA) de conformidad con las disposiciones tributarias aplicables. En ningún caso el valor total facturado podrá exceder el valor adjudicado o las adendas aprobadas;</w:t>
      </w:r>
    </w:p>
    <w:p w14:paraId="6B903973" w14:textId="77777777" w:rsidR="00D9577F" w:rsidRPr="00545981" w:rsidRDefault="00D9577F" w:rsidP="00545981">
      <w:pPr>
        <w:pStyle w:val="Ttulo2Car"/>
        <w:numPr>
          <w:ilvl w:val="0"/>
          <w:numId w:val="27"/>
        </w:numPr>
        <w:spacing w:line="240" w:lineRule="auto"/>
        <w:rPr>
          <w:rFonts w:asciiTheme="majorHAnsi" w:hAnsiTheme="majorHAnsi" w:cstheme="majorHAnsi"/>
          <w:b/>
          <w:i/>
          <w:u w:val="single"/>
          <w:lang w:eastAsia="es-PY"/>
        </w:rPr>
      </w:pPr>
      <w:r w:rsidRPr="00545981">
        <w:rPr>
          <w:rFonts w:asciiTheme="majorHAnsi" w:hAnsiTheme="majorHAnsi" w:cstheme="majorHAnsi"/>
          <w:b/>
          <w:i/>
          <w:u w:val="single"/>
          <w:lang w:eastAsia="es-PY"/>
        </w:rPr>
        <w:lastRenderedPageBreak/>
        <w:t xml:space="preserve">Nota de remisión u orden de </w:t>
      </w:r>
      <w:r w:rsidR="00432730">
        <w:rPr>
          <w:rFonts w:asciiTheme="majorHAnsi" w:hAnsiTheme="majorHAnsi" w:cstheme="majorHAnsi"/>
          <w:b/>
          <w:i/>
          <w:u w:val="single"/>
          <w:lang w:eastAsia="es-PY"/>
        </w:rPr>
        <w:t xml:space="preserve">compra de bienes y/o insumos </w:t>
      </w:r>
      <w:r w:rsidRPr="00545981">
        <w:rPr>
          <w:rFonts w:asciiTheme="majorHAnsi" w:hAnsiTheme="majorHAnsi" w:cstheme="majorHAnsi"/>
          <w:b/>
          <w:i/>
          <w:u w:val="single"/>
          <w:lang w:eastAsia="es-PY"/>
        </w:rPr>
        <w:t>según el objeto de la contratación;</w:t>
      </w:r>
    </w:p>
    <w:p w14:paraId="16F8D110" w14:textId="6B38857E" w:rsidR="00D9577F" w:rsidRPr="00545981" w:rsidRDefault="00D9577F" w:rsidP="00545981">
      <w:pPr>
        <w:pStyle w:val="Ttulo2Car"/>
        <w:numPr>
          <w:ilvl w:val="0"/>
          <w:numId w:val="27"/>
        </w:numPr>
        <w:spacing w:line="240" w:lineRule="auto"/>
        <w:rPr>
          <w:rFonts w:asciiTheme="majorHAnsi" w:hAnsiTheme="majorHAnsi" w:cstheme="majorHAnsi"/>
          <w:b/>
          <w:i/>
          <w:u w:val="single"/>
          <w:lang w:eastAsia="es-PY"/>
        </w:rPr>
      </w:pPr>
      <w:r w:rsidRPr="00545981">
        <w:rPr>
          <w:rFonts w:asciiTheme="majorHAnsi" w:hAnsiTheme="majorHAnsi" w:cstheme="majorHAnsi"/>
          <w:b/>
          <w:i/>
          <w:u w:val="single"/>
          <w:lang w:eastAsia="es-PY"/>
        </w:rPr>
        <w:t xml:space="preserve">Acta de </w:t>
      </w:r>
      <w:r w:rsidR="001B3BCC" w:rsidRPr="00545981">
        <w:rPr>
          <w:rFonts w:asciiTheme="majorHAnsi" w:hAnsiTheme="majorHAnsi" w:cstheme="majorHAnsi"/>
          <w:b/>
          <w:i/>
          <w:u w:val="single"/>
          <w:lang w:eastAsia="es-PY"/>
        </w:rPr>
        <w:t>Recepción</w:t>
      </w:r>
      <w:r w:rsidR="002A42DF">
        <w:rPr>
          <w:rFonts w:asciiTheme="majorHAnsi" w:hAnsiTheme="majorHAnsi" w:cstheme="majorHAnsi"/>
          <w:b/>
          <w:i/>
          <w:u w:val="single"/>
          <w:lang w:eastAsia="es-PY"/>
        </w:rPr>
        <w:t xml:space="preserve"> emitida por la unidad solicitante</w:t>
      </w:r>
    </w:p>
    <w:p w14:paraId="62791605" w14:textId="77777777" w:rsidR="00E84658" w:rsidRPr="00545981" w:rsidRDefault="00E84658" w:rsidP="00545981">
      <w:pPr>
        <w:pStyle w:val="Ttulo2Car"/>
        <w:numPr>
          <w:ilvl w:val="0"/>
          <w:numId w:val="27"/>
        </w:numPr>
        <w:spacing w:line="240" w:lineRule="auto"/>
        <w:rPr>
          <w:rFonts w:asciiTheme="majorHAnsi" w:hAnsiTheme="majorHAnsi" w:cstheme="majorHAnsi"/>
          <w:b/>
          <w:i/>
          <w:u w:val="single"/>
          <w:lang w:eastAsia="es-PY"/>
        </w:rPr>
      </w:pPr>
      <w:r w:rsidRPr="00545981">
        <w:rPr>
          <w:rFonts w:asciiTheme="majorHAnsi" w:hAnsiTheme="majorHAnsi" w:cstheme="majorHAnsi"/>
          <w:b/>
          <w:i/>
          <w:u w:val="single"/>
          <w:lang w:eastAsia="es-PY"/>
        </w:rPr>
        <w:t>Certificado de Cumplimiento Tributario;</w:t>
      </w:r>
    </w:p>
    <w:p w14:paraId="758ECBEE" w14:textId="4B2B8D1A" w:rsidR="00C03A5D" w:rsidRDefault="00E84658" w:rsidP="00C03A5D">
      <w:pPr>
        <w:pStyle w:val="Ttulo2Car"/>
        <w:numPr>
          <w:ilvl w:val="0"/>
          <w:numId w:val="27"/>
        </w:numPr>
        <w:spacing w:line="240" w:lineRule="auto"/>
        <w:rPr>
          <w:rFonts w:asciiTheme="majorHAnsi" w:hAnsiTheme="majorHAnsi" w:cstheme="majorHAnsi"/>
          <w:b/>
          <w:i/>
          <w:u w:val="single"/>
          <w:lang w:eastAsia="es-PY"/>
        </w:rPr>
      </w:pPr>
      <w:r w:rsidRPr="00545981">
        <w:rPr>
          <w:rFonts w:asciiTheme="majorHAnsi" w:hAnsiTheme="majorHAnsi" w:cstheme="majorHAnsi"/>
          <w:b/>
          <w:i/>
          <w:u w:val="single"/>
          <w:lang w:eastAsia="es-PY"/>
        </w:rPr>
        <w:t>Constancia de Cumplimiento con la Seguridad Social;</w:t>
      </w:r>
    </w:p>
    <w:p w14:paraId="60D0ECAB" w14:textId="77777777" w:rsidR="00C03A5D" w:rsidRPr="00C03A5D" w:rsidRDefault="00C03A5D" w:rsidP="00C03A5D">
      <w:pPr>
        <w:pStyle w:val="Ttulo2Car"/>
        <w:spacing w:line="240" w:lineRule="auto"/>
        <w:ind w:left="720"/>
        <w:rPr>
          <w:rFonts w:asciiTheme="majorHAnsi" w:hAnsiTheme="majorHAnsi" w:cstheme="majorHAnsi"/>
          <w:b/>
          <w:i/>
          <w:u w:val="single"/>
          <w:lang w:eastAsia="es-PY"/>
        </w:rPr>
      </w:pPr>
    </w:p>
    <w:p w14:paraId="62B35470" w14:textId="4A144E3D" w:rsidR="00C03A5D" w:rsidRPr="00C03A5D" w:rsidRDefault="00C03A5D" w:rsidP="00C03A5D">
      <w:pPr>
        <w:spacing w:line="240" w:lineRule="auto"/>
        <w:jc w:val="both"/>
        <w:rPr>
          <w:rFonts w:asciiTheme="majorHAnsi" w:hAnsiTheme="majorHAnsi" w:cstheme="majorHAnsi"/>
          <w:bCs/>
          <w:iCs/>
          <w:lang w:val="es-ES" w:eastAsia="es-PY"/>
        </w:rPr>
      </w:pPr>
      <w:r w:rsidRPr="00C03A5D">
        <w:rPr>
          <w:rFonts w:asciiTheme="majorHAnsi" w:hAnsiTheme="majorHAnsi" w:cstheme="majorHAnsi"/>
          <w:bCs/>
          <w:iCs/>
          <w:lang w:val="es-ES" w:eastAsia="es-PY"/>
        </w:rPr>
        <w:t xml:space="preserve">La empresa presentará la solicitud de pago ante la Dirección General de Administración y Finanzas del Rectorado de la Universidad Nacional de Asunción, por escrito y adjuntará a dicha solicitud, la factura que deberá estar debidamente llenada con los datos de la Convocante y del servicio detallado. </w:t>
      </w:r>
    </w:p>
    <w:p w14:paraId="6C967CA3" w14:textId="771F45A9" w:rsidR="00C03A5D" w:rsidRDefault="00C03A5D" w:rsidP="00C03A5D">
      <w:pPr>
        <w:spacing w:line="240" w:lineRule="auto"/>
        <w:jc w:val="both"/>
        <w:rPr>
          <w:rFonts w:asciiTheme="majorHAnsi" w:hAnsiTheme="majorHAnsi" w:cstheme="majorHAnsi"/>
          <w:bCs/>
          <w:iCs/>
          <w:lang w:val="es-ES" w:eastAsia="es-PY"/>
        </w:rPr>
      </w:pPr>
      <w:r w:rsidRPr="00C03A5D">
        <w:rPr>
          <w:rFonts w:asciiTheme="majorHAnsi" w:hAnsiTheme="majorHAnsi" w:cstheme="majorHAnsi"/>
          <w:bCs/>
          <w:iCs/>
          <w:lang w:val="es-ES" w:eastAsia="es-PY"/>
        </w:rPr>
        <w:t>Las facturas debe</w:t>
      </w:r>
      <w:r w:rsidR="00137030">
        <w:rPr>
          <w:rFonts w:asciiTheme="majorHAnsi" w:hAnsiTheme="majorHAnsi" w:cstheme="majorHAnsi"/>
          <w:bCs/>
          <w:iCs/>
          <w:lang w:val="es-ES" w:eastAsia="es-PY"/>
        </w:rPr>
        <w:t>ran</w:t>
      </w:r>
      <w:r w:rsidRPr="00C03A5D">
        <w:rPr>
          <w:rFonts w:asciiTheme="majorHAnsi" w:hAnsiTheme="majorHAnsi" w:cstheme="majorHAnsi"/>
          <w:bCs/>
          <w:iCs/>
          <w:lang w:val="es-ES" w:eastAsia="es-PY"/>
        </w:rPr>
        <w:t xml:space="preserve"> ser presentada hasta el 15 de cada mes, con todas las documentaciones solicitadas en el PBC, caso contrario la misma será rechazada.</w:t>
      </w:r>
    </w:p>
    <w:p w14:paraId="02862C72" w14:textId="771D31B1" w:rsidR="00C03A5D" w:rsidRPr="00C03A5D" w:rsidRDefault="00137030" w:rsidP="00C03A5D">
      <w:pPr>
        <w:spacing w:line="240" w:lineRule="auto"/>
        <w:jc w:val="both"/>
        <w:rPr>
          <w:rFonts w:asciiTheme="majorHAnsi" w:hAnsiTheme="majorHAnsi" w:cstheme="majorHAnsi"/>
          <w:bCs/>
          <w:iCs/>
          <w:lang w:val="es-ES" w:eastAsia="es-PY"/>
        </w:rPr>
      </w:pPr>
      <w:r>
        <w:rPr>
          <w:rFonts w:asciiTheme="majorHAnsi" w:hAnsiTheme="majorHAnsi" w:cstheme="majorHAnsi"/>
          <w:bCs/>
          <w:iCs/>
          <w:lang w:val="es-ES" w:eastAsia="es-PY"/>
        </w:rPr>
        <w:t>Además l</w:t>
      </w:r>
      <w:r w:rsidR="00C03A5D">
        <w:rPr>
          <w:rFonts w:asciiTheme="majorHAnsi" w:hAnsiTheme="majorHAnsi" w:cstheme="majorHAnsi"/>
          <w:bCs/>
          <w:iCs/>
          <w:lang w:val="es-ES" w:eastAsia="es-PY"/>
        </w:rPr>
        <w:t>as facturas</w:t>
      </w:r>
      <w:r>
        <w:rPr>
          <w:rFonts w:asciiTheme="majorHAnsi" w:hAnsiTheme="majorHAnsi" w:cstheme="majorHAnsi"/>
          <w:bCs/>
          <w:iCs/>
          <w:lang w:val="es-ES" w:eastAsia="es-PY"/>
        </w:rPr>
        <w:t xml:space="preserve"> y notas de remisiones</w:t>
      </w:r>
      <w:r w:rsidR="00C03A5D">
        <w:rPr>
          <w:rFonts w:asciiTheme="majorHAnsi" w:hAnsiTheme="majorHAnsi" w:cstheme="majorHAnsi"/>
          <w:bCs/>
          <w:iCs/>
          <w:lang w:val="es-ES" w:eastAsia="es-PY"/>
        </w:rPr>
        <w:t xml:space="preserve"> deberán </w:t>
      </w:r>
      <w:r>
        <w:rPr>
          <w:rFonts w:asciiTheme="majorHAnsi" w:hAnsiTheme="majorHAnsi" w:cstheme="majorHAnsi"/>
          <w:bCs/>
          <w:iCs/>
          <w:lang w:val="es-ES" w:eastAsia="es-PY"/>
        </w:rPr>
        <w:t>ser discriminadas por proyecto.</w:t>
      </w:r>
    </w:p>
    <w:p w14:paraId="4F844619" w14:textId="64385C58" w:rsidR="00C03A5D" w:rsidRPr="00C03A5D" w:rsidRDefault="00C03A5D" w:rsidP="00C03A5D">
      <w:pPr>
        <w:spacing w:line="240" w:lineRule="auto"/>
        <w:jc w:val="both"/>
        <w:rPr>
          <w:rFonts w:asciiTheme="majorHAnsi" w:hAnsiTheme="majorHAnsi" w:cstheme="majorHAnsi"/>
          <w:bCs/>
          <w:iCs/>
          <w:lang w:val="es-ES" w:eastAsia="es-PY"/>
        </w:rPr>
      </w:pPr>
      <w:r w:rsidRPr="00C03A5D">
        <w:rPr>
          <w:rFonts w:asciiTheme="majorHAnsi" w:hAnsiTheme="majorHAnsi" w:cstheme="majorHAnsi"/>
          <w:bCs/>
          <w:iCs/>
          <w:lang w:val="es-ES" w:eastAsia="es-PY"/>
        </w:rPr>
        <w:t>Las facturas electronicas deberan ser remitidas al correo electronico: facturacion.electronica@rec.una.py</w:t>
      </w:r>
    </w:p>
    <w:p w14:paraId="1977FC04" w14:textId="77777777" w:rsidR="00E84658" w:rsidRPr="00370012" w:rsidRDefault="00E84658" w:rsidP="00636C3A">
      <w:pPr>
        <w:pStyle w:val="Ttulo2Car"/>
        <w:ind w:left="720"/>
        <w:rPr>
          <w:rFonts w:asciiTheme="majorHAnsi" w:eastAsiaTheme="minorHAnsi" w:hAnsiTheme="majorHAnsi" w:cstheme="majorHAnsi"/>
          <w:lang w:eastAsia="es-PY"/>
        </w:rPr>
      </w:pPr>
    </w:p>
    <w:p w14:paraId="2B0BF5A1" w14:textId="77777777" w:rsidR="00E84658" w:rsidRPr="00370012" w:rsidRDefault="00E84658" w:rsidP="00636C3A">
      <w:pPr>
        <w:spacing w:after="0"/>
        <w:jc w:val="both"/>
        <w:rPr>
          <w:rFonts w:asciiTheme="majorHAnsi" w:eastAsiaTheme="minorHAnsi" w:hAnsiTheme="majorHAnsi" w:cstheme="majorHAnsi"/>
          <w:color w:val="FF0000"/>
          <w:lang w:eastAsia="es-PY"/>
        </w:rPr>
      </w:pPr>
      <w:r w:rsidRPr="00370012">
        <w:rPr>
          <w:rFonts w:asciiTheme="majorHAnsi" w:eastAsiaTheme="minorHAnsi" w:hAnsiTheme="majorHAnsi" w:cstheme="majorHAnsi"/>
          <w:b/>
          <w:lang w:eastAsia="es-PY"/>
        </w:rPr>
        <w:t>2</w:t>
      </w:r>
      <w:r w:rsidRPr="00370012">
        <w:rPr>
          <w:rFonts w:asciiTheme="majorHAnsi" w:eastAsiaTheme="minorHAnsi" w:hAnsiTheme="majorHAnsi" w:cstheme="majorHAnsi"/>
          <w:lang w:eastAsia="es-PY"/>
        </w:rPr>
        <w:t xml:space="preserve">. La Contratante efectuará los pagos, dentro del plazo establecido en este </w:t>
      </w:r>
      <w:r w:rsidR="00877DCD" w:rsidRPr="00370012">
        <w:rPr>
          <w:rFonts w:asciiTheme="majorHAnsi" w:eastAsiaTheme="minorHAnsi" w:hAnsiTheme="majorHAnsi" w:cstheme="majorHAnsi"/>
          <w:lang w:eastAsia="es-PY"/>
        </w:rPr>
        <w:t xml:space="preserve">apartado, sin exceder </w:t>
      </w:r>
      <w:r w:rsidR="00877DCD" w:rsidRPr="005578F0">
        <w:rPr>
          <w:rFonts w:asciiTheme="majorHAnsi" w:eastAsiaTheme="minorHAnsi" w:hAnsiTheme="majorHAnsi" w:cstheme="majorHAnsi"/>
          <w:b/>
          <w:i/>
          <w:u w:val="single"/>
          <w:lang w:eastAsia="es-PY"/>
        </w:rPr>
        <w:t>3</w:t>
      </w:r>
      <w:r w:rsidRPr="005578F0">
        <w:rPr>
          <w:rFonts w:asciiTheme="majorHAnsi" w:eastAsiaTheme="minorHAnsi" w:hAnsiTheme="majorHAnsi" w:cstheme="majorHAnsi"/>
          <w:b/>
          <w:i/>
          <w:u w:val="single"/>
          <w:lang w:eastAsia="es-PY"/>
        </w:rPr>
        <w:t>0</w:t>
      </w:r>
      <w:r w:rsidR="00D32BD7">
        <w:rPr>
          <w:rFonts w:asciiTheme="majorHAnsi" w:eastAsiaTheme="minorHAnsi" w:hAnsiTheme="majorHAnsi" w:cstheme="majorHAnsi"/>
          <w:b/>
          <w:i/>
          <w:u w:val="single"/>
          <w:lang w:eastAsia="es-PY"/>
        </w:rPr>
        <w:t xml:space="preserve"> (treinta</w:t>
      </w:r>
      <w:r w:rsidRPr="005578F0">
        <w:rPr>
          <w:rFonts w:asciiTheme="majorHAnsi" w:eastAsiaTheme="minorHAnsi" w:hAnsiTheme="majorHAnsi" w:cstheme="majorHAnsi"/>
          <w:b/>
          <w:i/>
          <w:u w:val="single"/>
          <w:lang w:eastAsia="es-PY"/>
        </w:rPr>
        <w:t xml:space="preserve">) días </w:t>
      </w:r>
      <w:r w:rsidR="00877DCD" w:rsidRPr="005578F0">
        <w:rPr>
          <w:rFonts w:asciiTheme="majorHAnsi" w:eastAsiaTheme="minorHAnsi" w:hAnsiTheme="majorHAnsi" w:cstheme="majorHAnsi"/>
          <w:b/>
          <w:i/>
          <w:u w:val="single"/>
          <w:lang w:eastAsia="es-PY"/>
        </w:rPr>
        <w:t>corridos</w:t>
      </w:r>
      <w:r w:rsidR="00877DCD" w:rsidRPr="005578F0">
        <w:rPr>
          <w:rFonts w:asciiTheme="majorHAnsi" w:eastAsiaTheme="minorHAnsi" w:hAnsiTheme="majorHAnsi" w:cstheme="majorHAnsi"/>
          <w:lang w:eastAsia="es-PY"/>
        </w:rPr>
        <w:t xml:space="preserve"> </w:t>
      </w:r>
      <w:r w:rsidRPr="00370012">
        <w:rPr>
          <w:rFonts w:asciiTheme="majorHAnsi" w:eastAsiaTheme="minorHAnsi" w:hAnsiTheme="majorHAnsi" w:cstheme="majorHAnsi"/>
          <w:lang w:eastAsia="es-PY"/>
        </w:rPr>
        <w:t>después de la presentación de una factura por el proveedor, y después de que la contratante la haya aceptado</w:t>
      </w:r>
      <w:r w:rsidR="004B09F8" w:rsidRPr="00370012">
        <w:rPr>
          <w:rFonts w:asciiTheme="majorHAnsi" w:eastAsiaTheme="minorHAnsi" w:hAnsiTheme="majorHAnsi" w:cstheme="majorHAnsi"/>
          <w:lang w:eastAsia="es-PY"/>
        </w:rPr>
        <w:t xml:space="preserve">, </w:t>
      </w:r>
      <w:r w:rsidR="004B09F8" w:rsidRPr="005578F0">
        <w:rPr>
          <w:rFonts w:asciiTheme="majorHAnsi" w:eastAsiaTheme="minorHAnsi" w:hAnsiTheme="majorHAnsi" w:cstheme="majorHAnsi"/>
          <w:b/>
          <w:i/>
          <w:u w:val="single"/>
          <w:lang w:eastAsia="es-PY"/>
        </w:rPr>
        <w:t>según disponibilidad presupuestaria y financiera</w:t>
      </w:r>
      <w:r w:rsidRPr="005578F0">
        <w:rPr>
          <w:rFonts w:asciiTheme="majorHAnsi" w:eastAsiaTheme="minorHAnsi" w:hAnsiTheme="majorHAnsi" w:cstheme="majorHAnsi"/>
          <w:b/>
          <w:i/>
          <w:u w:val="single"/>
          <w:lang w:eastAsia="es-PY"/>
        </w:rPr>
        <w:t>.</w:t>
      </w:r>
      <w:r w:rsidRPr="005578F0">
        <w:rPr>
          <w:rFonts w:asciiTheme="majorHAnsi" w:eastAsiaTheme="minorHAnsi" w:hAnsiTheme="majorHAnsi" w:cstheme="majorHAnsi"/>
          <w:lang w:eastAsia="es-PY"/>
        </w:rPr>
        <w:t xml:space="preserve"> </w:t>
      </w:r>
    </w:p>
    <w:p w14:paraId="04DAE29B" w14:textId="77777777" w:rsidR="00E84658" w:rsidRPr="00370012" w:rsidRDefault="00E84658" w:rsidP="00636C3A">
      <w:pPr>
        <w:spacing w:after="0"/>
        <w:jc w:val="both"/>
        <w:rPr>
          <w:rFonts w:asciiTheme="majorHAnsi" w:eastAsiaTheme="minorHAnsi" w:hAnsiTheme="majorHAnsi" w:cstheme="majorHAnsi"/>
          <w:lang w:eastAsia="es-PY"/>
        </w:rPr>
      </w:pPr>
    </w:p>
    <w:bookmarkEnd w:id="17"/>
    <w:p w14:paraId="5C3401DD" w14:textId="77777777" w:rsidR="00E84658" w:rsidRPr="0047543F" w:rsidRDefault="0047543F" w:rsidP="0047543F">
      <w:pPr>
        <w:pStyle w:val="Estilo2Car"/>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47543F">
        <w:rPr>
          <w:rFonts w:asciiTheme="majorHAnsi" w:hAnsiTheme="majorHAnsi" w:cstheme="majorHAnsi"/>
        </w:rPr>
        <w:t>SOLICITUD DE SUSPENSIÓN DE LA EJECUCIÓN DE CONTRATO</w:t>
      </w:r>
    </w:p>
    <w:p w14:paraId="523865E8" w14:textId="77777777" w:rsidR="00E84658" w:rsidRPr="00370012" w:rsidRDefault="00E84658" w:rsidP="00636C3A">
      <w:pPr>
        <w:pStyle w:val="Hipervnculo"/>
        <w:tabs>
          <w:tab w:val="left" w:pos="0"/>
          <w:tab w:val="left" w:pos="142"/>
          <w:tab w:val="left" w:pos="284"/>
        </w:tabs>
        <w:jc w:val="both"/>
        <w:rPr>
          <w:rFonts w:asciiTheme="majorHAnsi" w:hAnsiTheme="majorHAnsi" w:cstheme="majorHAnsi"/>
          <w:b/>
          <w:color w:val="000000"/>
          <w:lang w:eastAsia="es-PY"/>
        </w:rPr>
      </w:pPr>
      <w:r w:rsidRPr="00370012">
        <w:rPr>
          <w:rFonts w:asciiTheme="majorHAnsi" w:hAnsiTheme="majorHAnsi" w:cstheme="majorHAnsi"/>
          <w:color w:val="000000"/>
          <w:lang w:eastAsia="es-PY"/>
        </w:rPr>
        <w:t xml:space="preserve">Si la mora en el pago por parte de la contratante fuere superior a </w:t>
      </w:r>
      <w:r w:rsidRPr="0047543F">
        <w:rPr>
          <w:rFonts w:asciiTheme="majorHAnsi" w:hAnsiTheme="majorHAnsi" w:cstheme="majorHAnsi"/>
          <w:i/>
          <w:u w:val="single"/>
          <w:lang w:eastAsia="es-PY"/>
        </w:rPr>
        <w:t>60</w:t>
      </w:r>
      <w:r w:rsidR="00662BC7">
        <w:rPr>
          <w:rFonts w:asciiTheme="majorHAnsi" w:hAnsiTheme="majorHAnsi" w:cstheme="majorHAnsi"/>
          <w:i/>
          <w:u w:val="single"/>
          <w:lang w:eastAsia="es-PY"/>
        </w:rPr>
        <w:t xml:space="preserve"> (sesenta</w:t>
      </w:r>
      <w:r w:rsidRPr="0047543F">
        <w:rPr>
          <w:rFonts w:asciiTheme="majorHAnsi" w:hAnsiTheme="majorHAnsi" w:cstheme="majorHAnsi"/>
          <w:i/>
          <w:u w:val="single"/>
          <w:lang w:eastAsia="es-PY"/>
        </w:rPr>
        <w:t>) días</w:t>
      </w:r>
      <w:r w:rsidRPr="00370012">
        <w:rPr>
          <w:rFonts w:asciiTheme="majorHAnsi" w:hAnsiTheme="majorHAnsi" w:cstheme="majorHAnsi"/>
          <w:color w:val="000000"/>
          <w:lang w:eastAsia="es-PY"/>
        </w:rPr>
        <w:t>, el proveedor, consultor o contratista, tendrá derecho a solicitar por escrito la suspensión de la ejecución del contrato por causas imputables a la contratante.</w:t>
      </w:r>
    </w:p>
    <w:p w14:paraId="58AA6154" w14:textId="77777777" w:rsidR="00E84658" w:rsidRPr="00370012" w:rsidRDefault="00E84658" w:rsidP="00636C3A">
      <w:pPr>
        <w:pStyle w:val="Hipervnculo"/>
        <w:tabs>
          <w:tab w:val="left" w:pos="0"/>
          <w:tab w:val="left" w:pos="142"/>
          <w:tab w:val="left" w:pos="284"/>
        </w:tabs>
        <w:jc w:val="both"/>
        <w:rPr>
          <w:rFonts w:asciiTheme="majorHAnsi" w:hAnsiTheme="majorHAnsi" w:cstheme="majorHAnsi"/>
          <w:b/>
          <w:color w:val="000000"/>
          <w:lang w:eastAsia="es-PY"/>
        </w:rPr>
      </w:pPr>
      <w:r w:rsidRPr="00370012">
        <w:rPr>
          <w:rFonts w:asciiTheme="majorHAnsi" w:hAnsiTheme="majorHAnsi" w:cstheme="majorHAnsi"/>
          <w:color w:val="000000"/>
          <w:lang w:eastAsia="es-PY"/>
        </w:rPr>
        <w:t xml:space="preserve">La solicitud deberá ser respondida por la contratante dentro de los </w:t>
      </w:r>
      <w:r w:rsidRPr="0047543F">
        <w:rPr>
          <w:rFonts w:asciiTheme="majorHAnsi" w:hAnsiTheme="majorHAnsi" w:cstheme="majorHAnsi"/>
          <w:i/>
          <w:color w:val="000000"/>
          <w:u w:val="single"/>
          <w:lang w:eastAsia="es-PY"/>
        </w:rPr>
        <w:t>10 (diez) días hábiles</w:t>
      </w:r>
      <w:r w:rsidRPr="00370012">
        <w:rPr>
          <w:rFonts w:asciiTheme="majorHAnsi" w:hAnsiTheme="majorHAnsi" w:cstheme="majorHAnsi"/>
          <w:color w:val="000000"/>
          <w:lang w:eastAsia="es-PY"/>
        </w:rPr>
        <w:t xml:space="preserve"> de haber recibido por escrito el requerimiento. Pasado dicho plazo sin respuesta se considerará denegado el pedido, con lo que se agota la instancia administrativa quedando expedita la vía contencioso administrativa.</w:t>
      </w:r>
      <w:r w:rsidR="00DE329D" w:rsidRPr="00370012">
        <w:rPr>
          <w:rFonts w:asciiTheme="majorHAnsi" w:hAnsiTheme="majorHAnsi" w:cstheme="majorHAnsi"/>
          <w:color w:val="000000"/>
          <w:lang w:eastAsia="es-PY"/>
        </w:rPr>
        <w:t xml:space="preserve"> </w:t>
      </w:r>
    </w:p>
    <w:p w14:paraId="1B64AA83" w14:textId="77777777" w:rsidR="00CF7DEB" w:rsidRPr="00370012" w:rsidRDefault="00CF7DEB" w:rsidP="00636C3A">
      <w:pPr>
        <w:spacing w:after="0"/>
        <w:jc w:val="both"/>
        <w:rPr>
          <w:rFonts w:asciiTheme="majorHAnsi" w:eastAsia="Times New Roman" w:hAnsiTheme="majorHAnsi" w:cstheme="majorHAnsi"/>
          <w:color w:val="000000"/>
          <w:lang w:eastAsia="es-PY"/>
        </w:rPr>
      </w:pPr>
    </w:p>
    <w:p w14:paraId="7FEE12A4" w14:textId="77777777" w:rsidR="00E84658" w:rsidRPr="0047543F" w:rsidRDefault="0047543F" w:rsidP="0047543F">
      <w:pPr>
        <w:pStyle w:val="Estilo2Car"/>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47543F">
        <w:rPr>
          <w:rFonts w:asciiTheme="majorHAnsi" w:hAnsiTheme="majorHAnsi" w:cstheme="majorHAnsi"/>
        </w:rPr>
        <w:t>LIMITACIÓN DE RESPONSABILIDAD</w:t>
      </w:r>
    </w:p>
    <w:p w14:paraId="6B4E207A"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Excepto en casos de negligencia grave o actuación de mala fe, el proveedor no tendrá ninguna responsabilidad contractual de agravio o de otra índole frente a la contratante por pérdidas o daños indirectos o consiguientes, pérdidas de utilización, pérdidas de producción, o pérdidas de ganancias o por costo de intereses, estipulándose que esta exclusión no se aplicará a ninguna de las obligaciones del proveedor de pagar a la contratante las multas previstas en el contrato.</w:t>
      </w:r>
    </w:p>
    <w:p w14:paraId="2F40CEC0" w14:textId="77777777" w:rsidR="00E84658" w:rsidRPr="00370012" w:rsidRDefault="00E84658" w:rsidP="00636C3A">
      <w:pPr>
        <w:spacing w:after="0"/>
        <w:jc w:val="both"/>
        <w:rPr>
          <w:rFonts w:asciiTheme="majorHAnsi" w:eastAsia="Times New Roman" w:hAnsiTheme="majorHAnsi" w:cstheme="majorHAnsi"/>
          <w:color w:val="000000"/>
          <w:lang w:eastAsia="es-PY"/>
        </w:rPr>
      </w:pPr>
    </w:p>
    <w:p w14:paraId="64485AEA" w14:textId="77777777" w:rsidR="00E84658" w:rsidRPr="0047543F" w:rsidRDefault="0047543F" w:rsidP="0047543F">
      <w:pPr>
        <w:pStyle w:val="Estilo2Car"/>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47543F">
        <w:rPr>
          <w:rFonts w:asciiTheme="majorHAnsi" w:hAnsiTheme="majorHAnsi" w:cstheme="majorHAnsi"/>
        </w:rPr>
        <w:t>RESPONSABILIDAD DEL PROVEEDOR</w:t>
      </w:r>
    </w:p>
    <w:p w14:paraId="46D4A191" w14:textId="77777777" w:rsidR="00E84658" w:rsidRPr="00370012" w:rsidRDefault="00E84658" w:rsidP="00636C3A">
      <w:pPr>
        <w:pStyle w:val="SectionVIHeader"/>
        <w:spacing w:line="276" w:lineRule="auto"/>
        <w:jc w:val="both"/>
        <w:rPr>
          <w:rFonts w:asciiTheme="majorHAnsi" w:hAnsiTheme="majorHAnsi" w:cstheme="majorHAnsi"/>
          <w:sz w:val="22"/>
          <w:szCs w:val="22"/>
        </w:rPr>
      </w:pPr>
      <w:r w:rsidRPr="00370012">
        <w:rPr>
          <w:rFonts w:asciiTheme="majorHAnsi" w:hAnsiTheme="majorHAnsi" w:cstheme="majorHAnsi"/>
          <w:sz w:val="22"/>
          <w:szCs w:val="22"/>
        </w:rPr>
        <w:t xml:space="preserve">El proveedor deberá suministrar todos los </w:t>
      </w:r>
      <w:r w:rsidRPr="0047543F">
        <w:rPr>
          <w:rFonts w:asciiTheme="majorHAnsi" w:hAnsiTheme="majorHAnsi" w:cstheme="majorHAnsi"/>
          <w:i/>
          <w:sz w:val="22"/>
          <w:szCs w:val="22"/>
          <w:u w:val="single"/>
        </w:rPr>
        <w:t xml:space="preserve">bienes </w:t>
      </w:r>
      <w:r w:rsidR="0047543F" w:rsidRPr="0047543F">
        <w:rPr>
          <w:rFonts w:asciiTheme="majorHAnsi" w:hAnsiTheme="majorHAnsi" w:cstheme="majorHAnsi"/>
          <w:i/>
          <w:sz w:val="22"/>
          <w:szCs w:val="22"/>
          <w:u w:val="single"/>
        </w:rPr>
        <w:t>o insumos</w:t>
      </w:r>
      <w:r w:rsidRPr="0047543F">
        <w:rPr>
          <w:rFonts w:asciiTheme="majorHAnsi" w:hAnsiTheme="majorHAnsi" w:cstheme="majorHAnsi"/>
          <w:sz w:val="22"/>
          <w:szCs w:val="22"/>
        </w:rPr>
        <w:t xml:space="preserve"> </w:t>
      </w:r>
      <w:r w:rsidRPr="00370012">
        <w:rPr>
          <w:rFonts w:asciiTheme="majorHAnsi" w:hAnsiTheme="majorHAnsi" w:cstheme="majorHAnsi"/>
          <w:sz w:val="22"/>
          <w:szCs w:val="22"/>
        </w:rPr>
        <w:t>de acuerdo con las condiciones establecidas en el pliego de bases y condiciones, sin perjuicio de las responsabilidades establecidas en la Ley N° 7021/22.</w:t>
      </w:r>
    </w:p>
    <w:p w14:paraId="66471A5B" w14:textId="77777777" w:rsidR="00E84658" w:rsidRPr="00370012" w:rsidRDefault="00E84658" w:rsidP="00636C3A">
      <w:pPr>
        <w:pStyle w:val="SectionVIHeader"/>
        <w:spacing w:line="276" w:lineRule="auto"/>
        <w:jc w:val="both"/>
        <w:rPr>
          <w:rFonts w:asciiTheme="majorHAnsi" w:hAnsiTheme="majorHAnsi" w:cstheme="majorHAnsi"/>
          <w:sz w:val="22"/>
          <w:szCs w:val="22"/>
        </w:rPr>
      </w:pPr>
    </w:p>
    <w:p w14:paraId="50CAF75D" w14:textId="77777777" w:rsidR="00E84658" w:rsidRPr="0047543F" w:rsidRDefault="00CE4447" w:rsidP="0047543F">
      <w:pPr>
        <w:pStyle w:val="Estilo2Car"/>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47543F">
        <w:rPr>
          <w:rFonts w:asciiTheme="majorHAnsi" w:hAnsiTheme="majorHAnsi" w:cstheme="majorHAnsi"/>
        </w:rPr>
        <w:t>FUERZA MAYOR</w:t>
      </w:r>
    </w:p>
    <w:p w14:paraId="1580909E" w14:textId="77777777" w:rsidR="00E84658" w:rsidRPr="00370012" w:rsidRDefault="00E84658" w:rsidP="00CE4447">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lastRenderedPageBreak/>
        <w:t xml:space="preserve">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            </w:t>
      </w:r>
    </w:p>
    <w:p w14:paraId="0038AB1C" w14:textId="77777777" w:rsidR="00E84658" w:rsidRPr="00370012" w:rsidRDefault="00E84658" w:rsidP="00CE4447">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Para fines de esta cláusula, "Fuerza Mayor" significa un evento o situación fuera del control del proveedor que es imprevisible, inevitable y no se origina por descuido o negligencia del mismo. Tales eventos pueden incluir sin que éstos sean los únicos actos de la autoridad en su capacidad soberana, guerras o revoluciones, incendios, inundaciones, epidemias, pandemias, restricciones de cuarentena, y embargos de cargamentos.</w:t>
      </w:r>
    </w:p>
    <w:p w14:paraId="1908FD02" w14:textId="77777777" w:rsidR="00E84658" w:rsidRPr="00370012" w:rsidRDefault="00E84658" w:rsidP="00CE4447">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El proveedor deberá demostrar el nexo existente entre el caso notorio y la obligación pendiente de cumplimiento. La fuerza mayor solamente podrá afectar a la parte del contrato cuyo cumplimiento imposible fue probado.</w:t>
      </w:r>
    </w:p>
    <w:p w14:paraId="08DEF32C" w14:textId="77777777" w:rsidR="00E84658" w:rsidRPr="00370012" w:rsidRDefault="00E84658" w:rsidP="00CE4447">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No se considerarán casos de Fuerza Mayor los actos o acontecimientos que hagan el cumplimiento de una obligación únicamente más difícil o más onerosa para la parte correspondiente.</w:t>
      </w:r>
    </w:p>
    <w:p w14:paraId="6C239EBA" w14:textId="77777777" w:rsidR="00E84658" w:rsidRPr="00370012" w:rsidRDefault="00E84658" w:rsidP="00F3563D">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Si se presentara un evento de Fuerza Mayor, el proveedor notificará por escrito a la contratante sobre dicha condición y causa, en el plazo de siete (7) días calendario a partir del día siguiente en que el proveedor haya tenido conocimiento del evento o debiera haber tenido conocimiento del evento. Transcurrido el mencionado plazo, sin que el proveedor o contratista haya notificado a la convocante la situación que le impide cumplir con las condiciones contractuales, no podrá invocar caso fortuito o fuerza mayor.  Excepcionalmente, la convocante bajo su responsabilidad, podrá aceptar la notificación del evento de caso fortuito en un plazo mayor, debiendo acreditar el interés público comprometido.</w:t>
      </w:r>
    </w:p>
    <w:p w14:paraId="2D8D3D5D" w14:textId="77777777" w:rsidR="00E84658" w:rsidRPr="00370012" w:rsidRDefault="00E84658" w:rsidP="00F3563D">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La fuerza mayor debe ser invocada con posterioridad a la suscripción del contrato y con anterioridad al vencimiento del plazo de cumplimiento de las obligaciones contractuales.</w:t>
      </w:r>
    </w:p>
    <w:p w14:paraId="1E77E524" w14:textId="0564C70B" w:rsidR="00E84658" w:rsidRDefault="00E84658" w:rsidP="00FC6B84">
      <w:pPr>
        <w:spacing w:after="0"/>
        <w:jc w:val="both"/>
        <w:rPr>
          <w:rFonts w:asciiTheme="majorHAnsi" w:hAnsiTheme="majorHAnsi" w:cstheme="majorHAnsi"/>
          <w:bCs/>
          <w:color w:val="000000"/>
          <w:lang w:val="es-ES_tradnl" w:eastAsia="es-PY"/>
        </w:rPr>
      </w:pPr>
      <w:r w:rsidRPr="00370012">
        <w:rPr>
          <w:rFonts w:asciiTheme="majorHAnsi" w:hAnsiTheme="majorHAnsi" w:cstheme="majorHAnsi"/>
          <w:bCs/>
          <w:color w:val="000000"/>
          <w:lang w:val="es-ES_tradnl" w:eastAsia="es-PY"/>
        </w:rPr>
        <w:t>A menos que la contratante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p w14:paraId="0634944B" w14:textId="77777777" w:rsidR="00A97409" w:rsidRPr="00370012" w:rsidRDefault="00A97409" w:rsidP="00FC6B84">
      <w:pPr>
        <w:spacing w:after="0"/>
        <w:jc w:val="both"/>
        <w:rPr>
          <w:rFonts w:asciiTheme="majorHAnsi" w:eastAsia="Times New Roman" w:hAnsiTheme="majorHAnsi" w:cstheme="majorHAnsi"/>
          <w:bCs/>
          <w:color w:val="000000"/>
          <w:lang w:eastAsia="es-PY"/>
        </w:rPr>
      </w:pPr>
    </w:p>
    <w:p w14:paraId="789E4D13" w14:textId="77777777" w:rsidR="00E84658" w:rsidRPr="00370012" w:rsidRDefault="00E84658" w:rsidP="00636C3A">
      <w:pPr>
        <w:spacing w:after="0"/>
        <w:jc w:val="both"/>
        <w:rPr>
          <w:rFonts w:asciiTheme="majorHAnsi" w:eastAsia="Times New Roman" w:hAnsiTheme="majorHAnsi" w:cstheme="majorHAnsi"/>
          <w:color w:val="000000"/>
          <w:lang w:eastAsia="es-PY"/>
        </w:rPr>
      </w:pPr>
    </w:p>
    <w:p w14:paraId="6BFFB82D" w14:textId="77777777" w:rsidR="00E84658" w:rsidRPr="00C443ED" w:rsidRDefault="00C443ED" w:rsidP="00C443ED">
      <w:pPr>
        <w:pStyle w:val="Estilo2Car"/>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C443ED">
        <w:rPr>
          <w:rFonts w:asciiTheme="majorHAnsi" w:hAnsiTheme="majorHAnsi" w:cstheme="majorHAnsi"/>
        </w:rPr>
        <w:t>CAUSALES DE TERMINACIÓN DEL CONTRATO</w:t>
      </w:r>
    </w:p>
    <w:p w14:paraId="4C49944D" w14:textId="77777777" w:rsidR="00E84658" w:rsidRPr="00370012" w:rsidRDefault="00E84658" w:rsidP="00636C3A">
      <w:pPr>
        <w:pStyle w:val="Ttulo2Car"/>
        <w:contextualSpacing/>
        <w:rPr>
          <w:rFonts w:asciiTheme="majorHAnsi" w:hAnsiTheme="majorHAnsi" w:cstheme="majorHAnsi"/>
          <w:b/>
          <w:color w:val="000000"/>
          <w:lang w:eastAsia="es-PY"/>
        </w:rPr>
      </w:pPr>
      <w:r w:rsidRPr="00370012">
        <w:rPr>
          <w:rFonts w:asciiTheme="majorHAnsi" w:hAnsiTheme="majorHAnsi" w:cstheme="majorHAnsi"/>
          <w:b/>
          <w:color w:val="000000"/>
          <w:lang w:eastAsia="es-PY"/>
        </w:rPr>
        <w:t xml:space="preserve">1. Terminación por Incumplimiento     </w:t>
      </w:r>
    </w:p>
    <w:p w14:paraId="3DCB34DA" w14:textId="77777777" w:rsidR="00E84658" w:rsidRPr="00370012" w:rsidRDefault="00E84658" w:rsidP="00636C3A">
      <w:pPr>
        <w:pStyle w:val="Ttulo2Car"/>
        <w:contextualSpacing/>
        <w:rPr>
          <w:rFonts w:asciiTheme="majorHAnsi" w:hAnsiTheme="majorHAnsi" w:cstheme="majorHAnsi"/>
          <w:color w:val="000000"/>
          <w:lang w:eastAsia="es-PY"/>
        </w:rPr>
      </w:pPr>
      <w:r w:rsidRPr="00370012">
        <w:rPr>
          <w:rFonts w:asciiTheme="majorHAnsi" w:hAnsiTheme="majorHAnsi" w:cstheme="majorHAnsi"/>
          <w:color w:val="000000"/>
          <w:lang w:eastAsia="es-PY"/>
        </w:rPr>
        <w:t xml:space="preserve">a) La contratante, sin perjuicio de otros recursos a su disposición en caso de incumplimiento del contrato, podrá terminar el contrato, en cualquiera de las siguientes circunstancias:       </w:t>
      </w:r>
    </w:p>
    <w:p w14:paraId="37B751BC" w14:textId="77777777" w:rsidR="00E84658" w:rsidRPr="00370012" w:rsidRDefault="00E84658" w:rsidP="00636C3A">
      <w:pPr>
        <w:pStyle w:val="Ttulo2Car"/>
        <w:numPr>
          <w:ilvl w:val="0"/>
          <w:numId w:val="21"/>
        </w:numPr>
        <w:contextualSpacing/>
        <w:rPr>
          <w:rFonts w:asciiTheme="majorHAnsi" w:hAnsiTheme="majorHAnsi" w:cstheme="majorHAnsi"/>
          <w:color w:val="000000"/>
          <w:lang w:eastAsia="es-PY"/>
        </w:rPr>
      </w:pPr>
      <w:r w:rsidRPr="00370012">
        <w:rPr>
          <w:rFonts w:asciiTheme="majorHAnsi" w:hAnsiTheme="majorHAnsi" w:cstheme="majorHAnsi"/>
          <w:color w:val="000000"/>
          <w:lang w:eastAsia="es-PY"/>
        </w:rPr>
        <w:t xml:space="preserve">Si el proveedor no entrega parte o ninguno de los bienes dentro del período establecido en el contrato, o dentro de alguna prórroga otorgada por la contratante; o         </w:t>
      </w:r>
    </w:p>
    <w:p w14:paraId="0EC7582A" w14:textId="77777777" w:rsidR="00E84658" w:rsidRPr="00370012" w:rsidRDefault="00E84658" w:rsidP="00636C3A">
      <w:pPr>
        <w:pStyle w:val="Ttulo2Car"/>
        <w:numPr>
          <w:ilvl w:val="0"/>
          <w:numId w:val="21"/>
        </w:numPr>
        <w:contextualSpacing/>
        <w:rPr>
          <w:rFonts w:asciiTheme="majorHAnsi" w:hAnsiTheme="majorHAnsi" w:cstheme="majorHAnsi"/>
          <w:color w:val="000000"/>
          <w:lang w:eastAsia="es-PY"/>
        </w:rPr>
      </w:pPr>
      <w:r w:rsidRPr="00370012">
        <w:rPr>
          <w:rFonts w:asciiTheme="majorHAnsi" w:hAnsiTheme="majorHAnsi" w:cstheme="majorHAnsi"/>
          <w:color w:val="000000"/>
          <w:lang w:eastAsia="es-PY"/>
        </w:rPr>
        <w:t xml:space="preserve">Si el proveedor no cumple con cualquier otra obligación en virtud del contrato; o           </w:t>
      </w:r>
    </w:p>
    <w:p w14:paraId="108E05F2" w14:textId="0D593C43" w:rsidR="00E84658" w:rsidRPr="00370012" w:rsidRDefault="00E84658" w:rsidP="00636C3A">
      <w:pPr>
        <w:pStyle w:val="Ttulo2Car"/>
        <w:numPr>
          <w:ilvl w:val="0"/>
          <w:numId w:val="21"/>
        </w:numPr>
        <w:contextualSpacing/>
        <w:rPr>
          <w:rFonts w:asciiTheme="majorHAnsi" w:hAnsiTheme="majorHAnsi" w:cstheme="majorHAnsi"/>
          <w:color w:val="000000"/>
          <w:lang w:eastAsia="es-PY"/>
        </w:rPr>
      </w:pPr>
      <w:r w:rsidRPr="00370012">
        <w:rPr>
          <w:rFonts w:asciiTheme="majorHAnsi" w:hAnsiTheme="majorHAnsi" w:cstheme="majorHAnsi"/>
          <w:color w:val="000000"/>
          <w:lang w:eastAsia="es-PY"/>
        </w:rPr>
        <w:t xml:space="preserve">Si el proveedor, a juicio de la contratante, durante el proceso de </w:t>
      </w:r>
      <w:r w:rsidR="00DA25BC">
        <w:rPr>
          <w:rFonts w:asciiTheme="majorHAnsi" w:hAnsiTheme="majorHAnsi" w:cstheme="majorHAnsi"/>
          <w:color w:val="000000"/>
          <w:lang w:eastAsia="es-PY"/>
        </w:rPr>
        <w:t>procedimiento de adquisición</w:t>
      </w:r>
      <w:r w:rsidRPr="00370012">
        <w:rPr>
          <w:rFonts w:asciiTheme="majorHAnsi" w:hAnsiTheme="majorHAnsi" w:cstheme="majorHAnsi"/>
          <w:color w:val="000000"/>
          <w:lang w:eastAsia="es-PY"/>
        </w:rPr>
        <w:t xml:space="preserve"> o de ejecución del contrato, ha participado en actos de fraude y corrupción;     </w:t>
      </w:r>
    </w:p>
    <w:p w14:paraId="3386E1B7" w14:textId="77777777" w:rsidR="00E84658" w:rsidRPr="00370012" w:rsidRDefault="00E84658" w:rsidP="00636C3A">
      <w:pPr>
        <w:pStyle w:val="Ttulo2Car"/>
        <w:numPr>
          <w:ilvl w:val="0"/>
          <w:numId w:val="21"/>
        </w:numPr>
        <w:contextualSpacing/>
        <w:rPr>
          <w:rFonts w:asciiTheme="majorHAnsi" w:hAnsiTheme="majorHAnsi" w:cstheme="majorHAnsi"/>
          <w:color w:val="000000"/>
          <w:lang w:eastAsia="es-PY"/>
        </w:rPr>
      </w:pPr>
      <w:r w:rsidRPr="00370012">
        <w:rPr>
          <w:rFonts w:asciiTheme="majorHAnsi" w:hAnsiTheme="majorHAnsi" w:cstheme="majorHAnsi"/>
          <w:color w:val="000000"/>
          <w:lang w:eastAsia="es-PY"/>
        </w:rPr>
        <w:t>Cuando las multas por atraso superen el monto de la Garantía de Cumplimiento de Contrato;</w:t>
      </w:r>
    </w:p>
    <w:p w14:paraId="588E0A49" w14:textId="77777777" w:rsidR="00E84658" w:rsidRPr="00370012" w:rsidRDefault="00E84658" w:rsidP="00636C3A">
      <w:pPr>
        <w:pStyle w:val="Ttulo2Car"/>
        <w:numPr>
          <w:ilvl w:val="0"/>
          <w:numId w:val="21"/>
        </w:numPr>
        <w:contextualSpacing/>
        <w:rPr>
          <w:rFonts w:asciiTheme="majorHAnsi" w:hAnsiTheme="majorHAnsi" w:cstheme="majorHAnsi"/>
          <w:color w:val="000000"/>
          <w:lang w:eastAsia="es-PY"/>
        </w:rPr>
      </w:pPr>
      <w:r w:rsidRPr="00370012">
        <w:rPr>
          <w:rFonts w:asciiTheme="majorHAnsi" w:hAnsiTheme="majorHAnsi" w:cstheme="majorHAnsi"/>
          <w:color w:val="000000"/>
          <w:lang w:eastAsia="es-PY"/>
        </w:rPr>
        <w:t xml:space="preserve">Por suspensión de los trabajos, imputable al proveedor o al contratista, por más de sesenta días calendarios, sin que medie fuerza mayor o caso fortuito;      </w:t>
      </w:r>
    </w:p>
    <w:p w14:paraId="5C2D866F" w14:textId="77777777" w:rsidR="00E84658" w:rsidRPr="00370012" w:rsidRDefault="00E84658" w:rsidP="00636C3A">
      <w:pPr>
        <w:pStyle w:val="Ttulo2Car"/>
        <w:numPr>
          <w:ilvl w:val="0"/>
          <w:numId w:val="21"/>
        </w:numPr>
        <w:contextualSpacing/>
        <w:rPr>
          <w:rFonts w:asciiTheme="majorHAnsi" w:hAnsiTheme="majorHAnsi" w:cstheme="majorHAnsi"/>
          <w:color w:val="000000"/>
          <w:lang w:eastAsia="es-PY"/>
        </w:rPr>
      </w:pPr>
      <w:r w:rsidRPr="00370012">
        <w:rPr>
          <w:rFonts w:asciiTheme="majorHAnsi" w:hAnsiTheme="majorHAnsi" w:cstheme="majorHAnsi"/>
          <w:color w:val="000000"/>
          <w:lang w:eastAsia="es-PY"/>
        </w:rPr>
        <w:t>En los demás casos previstos en este apartado.</w:t>
      </w:r>
    </w:p>
    <w:p w14:paraId="598B2A16" w14:textId="77777777" w:rsidR="00E84658" w:rsidRPr="00370012" w:rsidRDefault="00E84658" w:rsidP="00636C3A">
      <w:pPr>
        <w:pStyle w:val="Ttulo2Car"/>
        <w:ind w:left="720"/>
        <w:contextualSpacing/>
        <w:rPr>
          <w:rFonts w:asciiTheme="majorHAnsi" w:hAnsiTheme="majorHAnsi" w:cstheme="majorHAnsi"/>
          <w:color w:val="000000"/>
          <w:lang w:eastAsia="es-PY"/>
        </w:rPr>
      </w:pPr>
    </w:p>
    <w:p w14:paraId="4ADA7F0F" w14:textId="77777777" w:rsidR="00E84658" w:rsidRPr="00370012" w:rsidRDefault="00E84658" w:rsidP="00636C3A">
      <w:pPr>
        <w:pStyle w:val="Ttulo2Car"/>
        <w:contextualSpacing/>
        <w:rPr>
          <w:rFonts w:asciiTheme="majorHAnsi" w:hAnsiTheme="majorHAnsi" w:cstheme="majorHAnsi"/>
          <w:b/>
          <w:color w:val="000000"/>
          <w:lang w:eastAsia="es-PY"/>
        </w:rPr>
      </w:pPr>
      <w:r w:rsidRPr="00370012">
        <w:rPr>
          <w:rFonts w:asciiTheme="majorHAnsi" w:hAnsiTheme="majorHAnsi" w:cstheme="majorHAnsi"/>
          <w:b/>
          <w:color w:val="000000"/>
          <w:lang w:eastAsia="es-PY"/>
        </w:rPr>
        <w:t>2. Terminación por insolvencia o quiebra</w:t>
      </w:r>
    </w:p>
    <w:p w14:paraId="3B493FF6" w14:textId="77777777" w:rsidR="00E84658" w:rsidRPr="00370012" w:rsidRDefault="00E84658" w:rsidP="00636C3A">
      <w:pPr>
        <w:pStyle w:val="Ttulo2Car"/>
        <w:contextualSpacing/>
        <w:rPr>
          <w:rFonts w:asciiTheme="majorHAnsi" w:hAnsiTheme="majorHAnsi" w:cstheme="majorHAnsi"/>
          <w:color w:val="000000"/>
          <w:lang w:eastAsia="es-PY"/>
        </w:rPr>
      </w:pPr>
      <w:r w:rsidRPr="00370012">
        <w:rPr>
          <w:rFonts w:asciiTheme="majorHAnsi" w:hAnsiTheme="majorHAnsi" w:cstheme="majorHAnsi"/>
          <w:color w:val="000000"/>
          <w:lang w:eastAsia="es-PY"/>
        </w:rPr>
        <w:t xml:space="preserve">La contratante podrá terminar el contrato mediante comunicación por escrito al proveedor si éste se declarase en quiebra o en estado de insolvencia. </w:t>
      </w:r>
    </w:p>
    <w:p w14:paraId="04278E39" w14:textId="77777777" w:rsidR="00E84658" w:rsidRPr="00370012" w:rsidRDefault="00E84658" w:rsidP="00636C3A">
      <w:pPr>
        <w:pStyle w:val="Ttulo2Car"/>
        <w:ind w:left="720"/>
        <w:contextualSpacing/>
        <w:rPr>
          <w:rFonts w:asciiTheme="majorHAnsi" w:hAnsiTheme="majorHAnsi" w:cstheme="majorHAnsi"/>
          <w:color w:val="000000"/>
          <w:lang w:eastAsia="es-PY"/>
        </w:rPr>
      </w:pPr>
    </w:p>
    <w:p w14:paraId="7C87C99D" w14:textId="77777777" w:rsidR="00E84658" w:rsidRPr="00370012" w:rsidRDefault="00E84658" w:rsidP="00636C3A">
      <w:pPr>
        <w:pStyle w:val="Ttulo2Car"/>
        <w:contextualSpacing/>
        <w:rPr>
          <w:rFonts w:asciiTheme="majorHAnsi" w:hAnsiTheme="majorHAnsi" w:cstheme="majorHAnsi"/>
          <w:b/>
          <w:color w:val="000000"/>
          <w:lang w:eastAsia="es-PY"/>
        </w:rPr>
      </w:pPr>
      <w:r w:rsidRPr="00370012">
        <w:rPr>
          <w:rFonts w:asciiTheme="majorHAnsi" w:hAnsiTheme="majorHAnsi" w:cstheme="majorHAnsi"/>
          <w:b/>
          <w:color w:val="000000"/>
          <w:lang w:eastAsia="es-PY"/>
        </w:rPr>
        <w:t>3. Terminación por conveniencia</w:t>
      </w:r>
    </w:p>
    <w:p w14:paraId="004E92FC" w14:textId="77777777" w:rsidR="00E84658" w:rsidRPr="008D2CFD" w:rsidRDefault="00E84658" w:rsidP="00F75061">
      <w:pPr>
        <w:pStyle w:val="Ttulo2Car"/>
        <w:ind w:left="284" w:hanging="284"/>
        <w:contextualSpacing/>
        <w:rPr>
          <w:rFonts w:asciiTheme="majorHAnsi" w:hAnsiTheme="majorHAnsi" w:cstheme="majorHAnsi"/>
          <w:color w:val="000000"/>
          <w:lang w:eastAsia="es-PY"/>
        </w:rPr>
      </w:pPr>
      <w:r w:rsidRPr="008D2CFD">
        <w:rPr>
          <w:rFonts w:asciiTheme="majorHAnsi" w:hAnsiTheme="majorHAnsi" w:cstheme="majorHAnsi"/>
          <w:color w:val="000000"/>
          <w:lang w:eastAsia="es-PY"/>
        </w:rPr>
        <w:lastRenderedPageBreak/>
        <w:t xml:space="preserve">a) La contratante podrá en cualquier momento terminar total o parcialmente el contrato por razones de interés público debidamente justificada, mediante notificación escrita al proveedor. La notificación indicará la razón de la terminación, así como el alcance de la terminación con respecto a las obligaciones del proveedor, y la fecha en que se hace efectiva dicha terminación.         </w:t>
      </w:r>
    </w:p>
    <w:p w14:paraId="61698644" w14:textId="77777777" w:rsidR="00E84658" w:rsidRPr="00370012" w:rsidRDefault="00E84658" w:rsidP="00F75061">
      <w:pPr>
        <w:pStyle w:val="Ttulo2Car"/>
        <w:ind w:left="284" w:hanging="284"/>
        <w:contextualSpacing/>
        <w:rPr>
          <w:rFonts w:asciiTheme="majorHAnsi" w:hAnsiTheme="majorHAnsi" w:cstheme="majorHAnsi"/>
          <w:color w:val="000000"/>
          <w:lang w:eastAsia="es-PY"/>
        </w:rPr>
      </w:pPr>
      <w:r w:rsidRPr="008D2CFD">
        <w:rPr>
          <w:rFonts w:asciiTheme="majorHAnsi" w:hAnsiTheme="majorHAnsi" w:cstheme="majorHAnsi"/>
          <w:color w:val="000000"/>
          <w:lang w:eastAsia="es-PY"/>
        </w:rPr>
        <w:t>b)</w:t>
      </w:r>
      <w:r w:rsidR="008D2CFD" w:rsidRPr="008D2CFD">
        <w:rPr>
          <w:rFonts w:asciiTheme="majorHAnsi" w:hAnsiTheme="majorHAnsi" w:cstheme="majorHAnsi"/>
          <w:color w:val="000000"/>
          <w:lang w:eastAsia="es-PY"/>
        </w:rPr>
        <w:t xml:space="preserve">  </w:t>
      </w:r>
      <w:r w:rsidRPr="008D2CFD">
        <w:rPr>
          <w:rFonts w:asciiTheme="majorHAnsi" w:hAnsiTheme="majorHAnsi" w:cstheme="majorHAnsi"/>
          <w:color w:val="000000"/>
          <w:lang w:eastAsia="es-PY"/>
        </w:rPr>
        <w:t xml:space="preserve">Los bienes que ya estén fabricados y estuviesen listos para ser enviados a la contratante dentro de los </w:t>
      </w:r>
      <w:r w:rsidR="00662BC7" w:rsidRPr="008D2CFD">
        <w:rPr>
          <w:rFonts w:asciiTheme="majorHAnsi" w:hAnsiTheme="majorHAnsi" w:cstheme="majorHAnsi"/>
          <w:color w:val="000000"/>
          <w:lang w:eastAsia="es-PY"/>
        </w:rPr>
        <w:t>30 (</w:t>
      </w:r>
      <w:r w:rsidRPr="008D2CFD">
        <w:rPr>
          <w:rFonts w:asciiTheme="majorHAnsi" w:hAnsiTheme="majorHAnsi" w:cstheme="majorHAnsi"/>
          <w:color w:val="000000"/>
          <w:lang w:eastAsia="es-PY"/>
        </w:rPr>
        <w:t>treinta</w:t>
      </w:r>
      <w:r w:rsidR="00662BC7" w:rsidRPr="008D2CFD">
        <w:rPr>
          <w:rFonts w:asciiTheme="majorHAnsi" w:hAnsiTheme="majorHAnsi" w:cstheme="majorHAnsi"/>
          <w:color w:val="000000"/>
          <w:lang w:eastAsia="es-PY"/>
        </w:rPr>
        <w:t xml:space="preserve">) </w:t>
      </w:r>
      <w:r w:rsidRPr="008D2CFD">
        <w:rPr>
          <w:rFonts w:asciiTheme="majorHAnsi" w:hAnsiTheme="majorHAnsi" w:cstheme="majorHAnsi"/>
          <w:color w:val="000000"/>
          <w:lang w:eastAsia="es-PY"/>
        </w:rPr>
        <w:t>días siguientes a la fecha de recibo de la notificación de terminación del contrato deberán ser aceptados por la contratante de acuerdo con los términos y precios establecidos en el contrato. En cuanto al resto de los bienes la contratante podrá elegir entre las siguientes opciones:</w:t>
      </w:r>
    </w:p>
    <w:p w14:paraId="2850CBCD" w14:textId="77777777" w:rsidR="00E84658" w:rsidRPr="00370012" w:rsidRDefault="00E84658" w:rsidP="00F75061">
      <w:pPr>
        <w:pStyle w:val="Ttulo2Car"/>
        <w:ind w:left="284"/>
        <w:contextualSpacing/>
        <w:rPr>
          <w:rFonts w:asciiTheme="majorHAnsi" w:hAnsiTheme="majorHAnsi" w:cstheme="majorHAnsi"/>
          <w:color w:val="000000"/>
          <w:lang w:eastAsia="es-PY"/>
        </w:rPr>
      </w:pPr>
      <w:r w:rsidRPr="00370012">
        <w:rPr>
          <w:rFonts w:asciiTheme="majorHAnsi" w:hAnsiTheme="majorHAnsi" w:cstheme="majorHAnsi"/>
          <w:color w:val="000000"/>
          <w:lang w:eastAsia="es-PY"/>
        </w:rPr>
        <w:t>-Que se complete alguna porción y se entregue de acuerdo con las condiciones y precios del contrato; y/o</w:t>
      </w:r>
    </w:p>
    <w:p w14:paraId="3EA74B51" w14:textId="77777777" w:rsidR="00E84658" w:rsidRPr="00370012" w:rsidRDefault="00E84658" w:rsidP="00F75061">
      <w:pPr>
        <w:pStyle w:val="Ttulo2Car"/>
        <w:ind w:left="284"/>
        <w:contextualSpacing/>
        <w:rPr>
          <w:rFonts w:asciiTheme="majorHAnsi" w:hAnsiTheme="majorHAnsi" w:cstheme="majorHAnsi"/>
          <w:color w:val="000000"/>
          <w:lang w:eastAsia="es-PY"/>
        </w:rPr>
      </w:pPr>
      <w:r w:rsidRPr="00370012">
        <w:rPr>
          <w:rFonts w:asciiTheme="majorHAnsi" w:hAnsiTheme="majorHAnsi" w:cstheme="majorHAnsi"/>
          <w:color w:val="000000"/>
          <w:lang w:eastAsia="es-PY"/>
        </w:rPr>
        <w:t>-Que se cancele la entrega restante y se pague al proveedor una suma convenida por aquellos bienes que hubiesen sido parcialmente completados y por los materiales y repuestos adquiridos previamente por el proveedor.</w:t>
      </w:r>
    </w:p>
    <w:p w14:paraId="33014615" w14:textId="77777777" w:rsidR="00E84658" w:rsidRPr="00370012" w:rsidRDefault="00E84658" w:rsidP="00636C3A">
      <w:pPr>
        <w:pStyle w:val="Ttulo2Car"/>
        <w:contextualSpacing/>
        <w:rPr>
          <w:rFonts w:asciiTheme="majorHAnsi" w:hAnsiTheme="majorHAnsi" w:cstheme="majorHAnsi"/>
          <w:color w:val="000000"/>
          <w:lang w:eastAsia="es-PY"/>
        </w:rPr>
      </w:pPr>
      <w:r w:rsidRPr="00370012">
        <w:rPr>
          <w:rFonts w:asciiTheme="majorHAnsi" w:hAnsiTheme="majorHAnsi" w:cstheme="majorHAnsi"/>
          <w:color w:val="000000"/>
          <w:lang w:eastAsia="es-PY"/>
        </w:rPr>
        <w:t xml:space="preserve">Se podrán establecer otras causales de terminación de contrato, de acuerdo a su naturaleza, y se deberán tener en cuenta, además, las previstas en el artículo 72 y concordantes de la Ley </w:t>
      </w:r>
      <w:r w:rsidR="00CD32A4">
        <w:rPr>
          <w:rFonts w:asciiTheme="majorHAnsi" w:hAnsiTheme="majorHAnsi" w:cstheme="majorHAnsi"/>
          <w:color w:val="000000"/>
          <w:lang w:eastAsia="es-PY"/>
        </w:rPr>
        <w:t xml:space="preserve">                 </w:t>
      </w:r>
      <w:r w:rsidRPr="00370012">
        <w:rPr>
          <w:rFonts w:asciiTheme="majorHAnsi" w:hAnsiTheme="majorHAnsi" w:cstheme="majorHAnsi"/>
          <w:color w:val="000000"/>
          <w:lang w:eastAsia="es-PY"/>
        </w:rPr>
        <w:t>N° 7021/22.</w:t>
      </w:r>
    </w:p>
    <w:p w14:paraId="52EA5D6F" w14:textId="77777777" w:rsidR="00E84658" w:rsidRPr="00370012" w:rsidRDefault="00E84658" w:rsidP="00636C3A">
      <w:pPr>
        <w:pStyle w:val="Ttulo2Car"/>
        <w:ind w:left="720"/>
        <w:contextualSpacing/>
        <w:rPr>
          <w:rFonts w:asciiTheme="majorHAnsi" w:hAnsiTheme="majorHAnsi" w:cstheme="majorHAnsi"/>
          <w:color w:val="000000"/>
          <w:lang w:eastAsia="es-PY"/>
        </w:rPr>
      </w:pPr>
    </w:p>
    <w:p w14:paraId="040F41F2" w14:textId="77777777" w:rsidR="00E84658" w:rsidRPr="000849D9" w:rsidRDefault="00731CEA" w:rsidP="000849D9">
      <w:pPr>
        <w:pStyle w:val="Estilo2Car"/>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Pr>
          <w:rFonts w:asciiTheme="majorHAnsi" w:hAnsiTheme="majorHAnsi" w:cstheme="majorHAnsi"/>
        </w:rPr>
        <w:t xml:space="preserve">HECHOS POSTERIORES A LA </w:t>
      </w:r>
      <w:r w:rsidR="000849D9" w:rsidRPr="000849D9">
        <w:rPr>
          <w:rFonts w:asciiTheme="majorHAnsi" w:hAnsiTheme="majorHAnsi" w:cstheme="majorHAnsi"/>
        </w:rPr>
        <w:t>TERMINACIÓN DEL CONTRATO</w:t>
      </w:r>
    </w:p>
    <w:p w14:paraId="5861937D" w14:textId="77777777" w:rsidR="00B337EC" w:rsidRPr="001C79D2" w:rsidRDefault="00731CEA" w:rsidP="005A7B31">
      <w:pPr>
        <w:autoSpaceDE w:val="0"/>
        <w:autoSpaceDN w:val="0"/>
        <w:adjustRightInd w:val="0"/>
        <w:spacing w:after="0" w:line="240" w:lineRule="auto"/>
        <w:jc w:val="both"/>
        <w:rPr>
          <w:rFonts w:asciiTheme="majorHAnsi" w:eastAsiaTheme="minorHAnsi" w:hAnsiTheme="majorHAnsi" w:cstheme="majorHAnsi"/>
          <w:b/>
          <w:i/>
          <w:u w:val="single"/>
          <w:lang w:val="es-ES"/>
        </w:rPr>
      </w:pPr>
      <w:r>
        <w:rPr>
          <w:rFonts w:asciiTheme="majorHAnsi" w:eastAsia="Times New Roman" w:hAnsiTheme="majorHAnsi" w:cstheme="majorHAnsi"/>
          <w:b/>
          <w:i/>
          <w:u w:val="single"/>
          <w:lang w:eastAsia="es-PY"/>
        </w:rPr>
        <w:t>T</w:t>
      </w:r>
      <w:r w:rsidR="0006260F" w:rsidRPr="001C79D2">
        <w:rPr>
          <w:rFonts w:asciiTheme="majorHAnsi" w:eastAsia="Times New Roman" w:hAnsiTheme="majorHAnsi" w:cstheme="majorHAnsi"/>
          <w:b/>
          <w:i/>
          <w:u w:val="single"/>
          <w:lang w:eastAsia="es-PY"/>
        </w:rPr>
        <w:t>erminación</w:t>
      </w:r>
      <w:r w:rsidR="00DD58FD" w:rsidRPr="001C79D2">
        <w:rPr>
          <w:rFonts w:asciiTheme="majorHAnsi" w:eastAsia="Times New Roman" w:hAnsiTheme="majorHAnsi" w:cstheme="majorHAnsi"/>
          <w:b/>
          <w:i/>
          <w:u w:val="single"/>
          <w:lang w:eastAsia="es-PY"/>
        </w:rPr>
        <w:t xml:space="preserve"> del contrato por razones imputables al proveedor y sin derecho a</w:t>
      </w:r>
      <w:r w:rsidR="0006260F" w:rsidRPr="001C79D2">
        <w:rPr>
          <w:rFonts w:asciiTheme="majorHAnsi" w:eastAsia="Times New Roman" w:hAnsiTheme="majorHAnsi" w:cstheme="majorHAnsi"/>
          <w:b/>
          <w:i/>
          <w:u w:val="single"/>
          <w:lang w:eastAsia="es-PY"/>
        </w:rPr>
        <w:t xml:space="preserve"> </w:t>
      </w:r>
      <w:r w:rsidR="00DD58FD" w:rsidRPr="001C79D2">
        <w:rPr>
          <w:rFonts w:asciiTheme="majorHAnsi" w:eastAsia="Times New Roman" w:hAnsiTheme="majorHAnsi" w:cstheme="majorHAnsi"/>
          <w:b/>
          <w:i/>
          <w:u w:val="single"/>
          <w:lang w:eastAsia="es-PY"/>
        </w:rPr>
        <w:t xml:space="preserve">reembolso de gastos ni </w:t>
      </w:r>
      <w:r w:rsidR="007B3753" w:rsidRPr="001C79D2">
        <w:rPr>
          <w:rFonts w:asciiTheme="majorHAnsi" w:eastAsia="Times New Roman" w:hAnsiTheme="majorHAnsi" w:cstheme="majorHAnsi"/>
          <w:b/>
          <w:i/>
          <w:u w:val="single"/>
          <w:lang w:eastAsia="es-PY"/>
        </w:rPr>
        <w:t>indemnización</w:t>
      </w:r>
      <w:r w:rsidR="00DD58FD" w:rsidRPr="001C79D2">
        <w:rPr>
          <w:rFonts w:asciiTheme="majorHAnsi" w:eastAsia="Times New Roman" w:hAnsiTheme="majorHAnsi" w:cstheme="majorHAnsi"/>
          <w:b/>
          <w:i/>
          <w:u w:val="single"/>
          <w:lang w:eastAsia="es-PY"/>
        </w:rPr>
        <w:t xml:space="preserve"> alguna, </w:t>
      </w:r>
      <w:r w:rsidR="007B3753" w:rsidRPr="001C79D2">
        <w:rPr>
          <w:rFonts w:asciiTheme="majorHAnsi" w:eastAsia="Times New Roman" w:hAnsiTheme="majorHAnsi" w:cstheme="majorHAnsi"/>
          <w:b/>
          <w:i/>
          <w:u w:val="single"/>
          <w:lang w:eastAsia="es-PY"/>
        </w:rPr>
        <w:t>conllevar</w:t>
      </w:r>
      <w:r>
        <w:rPr>
          <w:rFonts w:asciiTheme="majorHAnsi" w:eastAsia="Times New Roman" w:hAnsiTheme="majorHAnsi" w:cstheme="majorHAnsi"/>
          <w:b/>
          <w:i/>
          <w:u w:val="single"/>
          <w:lang w:eastAsia="es-PY"/>
        </w:rPr>
        <w:t>á</w:t>
      </w:r>
      <w:r w:rsidR="00DD58FD" w:rsidRPr="001C79D2">
        <w:rPr>
          <w:rFonts w:asciiTheme="majorHAnsi" w:eastAsia="Times New Roman" w:hAnsiTheme="majorHAnsi" w:cstheme="majorHAnsi"/>
          <w:b/>
          <w:i/>
          <w:u w:val="single"/>
          <w:lang w:eastAsia="es-PY"/>
        </w:rPr>
        <w:t xml:space="preserve"> </w:t>
      </w:r>
      <w:r>
        <w:rPr>
          <w:rFonts w:asciiTheme="majorHAnsi" w:eastAsia="Times New Roman" w:hAnsiTheme="majorHAnsi" w:cstheme="majorHAnsi"/>
          <w:b/>
          <w:i/>
          <w:u w:val="single"/>
          <w:lang w:eastAsia="es-PY"/>
        </w:rPr>
        <w:t xml:space="preserve">a la </w:t>
      </w:r>
      <w:r w:rsidR="007B3753" w:rsidRPr="001C79D2">
        <w:rPr>
          <w:rFonts w:asciiTheme="majorHAnsi" w:eastAsia="Times New Roman" w:hAnsiTheme="majorHAnsi" w:cstheme="majorHAnsi"/>
          <w:b/>
          <w:i/>
          <w:u w:val="single"/>
          <w:lang w:eastAsia="es-PY"/>
        </w:rPr>
        <w:t>ejecución</w:t>
      </w:r>
      <w:r w:rsidR="00DD58FD" w:rsidRPr="001C79D2">
        <w:rPr>
          <w:rFonts w:asciiTheme="majorHAnsi" w:eastAsia="Times New Roman" w:hAnsiTheme="majorHAnsi" w:cstheme="majorHAnsi"/>
          <w:b/>
          <w:i/>
          <w:u w:val="single"/>
          <w:lang w:eastAsia="es-PY"/>
        </w:rPr>
        <w:t xml:space="preserve"> de</w:t>
      </w:r>
      <w:r w:rsidR="0006260F" w:rsidRPr="001C79D2">
        <w:rPr>
          <w:rFonts w:asciiTheme="majorHAnsi" w:eastAsia="Times New Roman" w:hAnsiTheme="majorHAnsi" w:cstheme="majorHAnsi"/>
          <w:b/>
          <w:i/>
          <w:u w:val="single"/>
          <w:lang w:eastAsia="es-PY"/>
        </w:rPr>
        <w:t xml:space="preserve"> </w:t>
      </w:r>
      <w:r w:rsidR="00DD58FD" w:rsidRPr="001C79D2">
        <w:rPr>
          <w:rFonts w:asciiTheme="majorHAnsi" w:eastAsia="Times New Roman" w:hAnsiTheme="majorHAnsi" w:cstheme="majorHAnsi"/>
          <w:b/>
          <w:i/>
          <w:u w:val="single"/>
          <w:lang w:eastAsia="es-PY"/>
        </w:rPr>
        <w:t xml:space="preserve">la </w:t>
      </w:r>
      <w:r w:rsidR="007B3753" w:rsidRPr="001C79D2">
        <w:rPr>
          <w:rFonts w:asciiTheme="majorHAnsi" w:eastAsia="Times New Roman" w:hAnsiTheme="majorHAnsi" w:cstheme="majorHAnsi"/>
          <w:b/>
          <w:i/>
          <w:u w:val="single"/>
          <w:lang w:eastAsia="es-PY"/>
        </w:rPr>
        <w:t>garantía</w:t>
      </w:r>
      <w:r w:rsidR="00DD58FD" w:rsidRPr="001C79D2">
        <w:rPr>
          <w:rFonts w:asciiTheme="majorHAnsi" w:eastAsia="Times New Roman" w:hAnsiTheme="majorHAnsi" w:cstheme="majorHAnsi"/>
          <w:b/>
          <w:i/>
          <w:u w:val="single"/>
          <w:lang w:eastAsia="es-PY"/>
        </w:rPr>
        <w:t xml:space="preserve"> de fiel cumplimiento de contrato y se comunicar</w:t>
      </w:r>
      <w:r>
        <w:rPr>
          <w:rFonts w:asciiTheme="majorHAnsi" w:eastAsia="Times New Roman" w:hAnsiTheme="majorHAnsi" w:cstheme="majorHAnsi"/>
          <w:b/>
          <w:i/>
          <w:u w:val="single"/>
          <w:lang w:eastAsia="es-PY"/>
        </w:rPr>
        <w:t>á</w:t>
      </w:r>
      <w:r w:rsidR="00DD58FD" w:rsidRPr="001C79D2">
        <w:rPr>
          <w:rFonts w:asciiTheme="majorHAnsi" w:eastAsia="Times New Roman" w:hAnsiTheme="majorHAnsi" w:cstheme="majorHAnsi"/>
          <w:b/>
          <w:i/>
          <w:u w:val="single"/>
          <w:lang w:eastAsia="es-PY"/>
        </w:rPr>
        <w:t xml:space="preserve"> la DNCP. </w:t>
      </w:r>
      <w:r w:rsidR="0006260F" w:rsidRPr="001C79D2">
        <w:rPr>
          <w:rFonts w:asciiTheme="majorHAnsi" w:eastAsia="Times New Roman" w:hAnsiTheme="majorHAnsi" w:cstheme="majorHAnsi"/>
          <w:b/>
          <w:i/>
          <w:u w:val="single"/>
          <w:lang w:eastAsia="es-PY"/>
        </w:rPr>
        <w:t xml:space="preserve"> </w:t>
      </w:r>
      <w:r w:rsidR="00B337EC" w:rsidRPr="001C79D2">
        <w:rPr>
          <w:rFonts w:asciiTheme="majorHAnsi" w:eastAsiaTheme="minorHAnsi" w:hAnsiTheme="majorHAnsi" w:cstheme="majorHAnsi"/>
          <w:b/>
          <w:i/>
          <w:u w:val="single"/>
          <w:lang w:val="es-ES"/>
        </w:rPr>
        <w:t>Una vez dado por terminado el contrato en los t</w:t>
      </w:r>
      <w:r w:rsidR="001C79D2" w:rsidRPr="001C79D2">
        <w:rPr>
          <w:rFonts w:asciiTheme="majorHAnsi" w:eastAsiaTheme="minorHAnsi" w:hAnsiTheme="majorHAnsi" w:cstheme="majorHAnsi"/>
          <w:b/>
          <w:i/>
          <w:u w:val="single"/>
          <w:lang w:val="es-ES"/>
        </w:rPr>
        <w:t>é</w:t>
      </w:r>
      <w:r w:rsidR="00B337EC" w:rsidRPr="001C79D2">
        <w:rPr>
          <w:rFonts w:asciiTheme="majorHAnsi" w:eastAsiaTheme="minorHAnsi" w:hAnsiTheme="majorHAnsi" w:cstheme="majorHAnsi"/>
          <w:b/>
          <w:i/>
          <w:u w:val="single"/>
          <w:lang w:val="es-ES"/>
        </w:rPr>
        <w:t>rminos del apartado anterior, se podrá adjudicar directamente a la segunda oferta que cumpla con los criterios</w:t>
      </w:r>
      <w:r w:rsidR="0006260F" w:rsidRPr="001C79D2">
        <w:rPr>
          <w:rFonts w:asciiTheme="majorHAnsi" w:eastAsiaTheme="minorHAnsi" w:hAnsiTheme="majorHAnsi" w:cstheme="majorHAnsi"/>
          <w:b/>
          <w:i/>
          <w:u w:val="single"/>
          <w:lang w:val="es-ES"/>
        </w:rPr>
        <w:t xml:space="preserve"> </w:t>
      </w:r>
      <w:r w:rsidR="00B337EC" w:rsidRPr="001C79D2">
        <w:rPr>
          <w:rFonts w:asciiTheme="majorHAnsi" w:eastAsiaTheme="minorHAnsi" w:hAnsiTheme="majorHAnsi" w:cstheme="majorHAnsi"/>
          <w:b/>
          <w:i/>
          <w:u w:val="single"/>
          <w:lang w:val="es-ES"/>
        </w:rPr>
        <w:t>establecidos en las bases y condiciones y en la presente</w:t>
      </w:r>
      <w:r w:rsidR="0006260F" w:rsidRPr="001C79D2">
        <w:rPr>
          <w:rFonts w:asciiTheme="majorHAnsi" w:eastAsiaTheme="minorHAnsi" w:hAnsiTheme="majorHAnsi" w:cstheme="majorHAnsi"/>
          <w:b/>
          <w:i/>
          <w:u w:val="single"/>
          <w:lang w:val="es-ES"/>
        </w:rPr>
        <w:t xml:space="preserve"> </w:t>
      </w:r>
      <w:r w:rsidR="005A7B31" w:rsidRPr="001C79D2">
        <w:rPr>
          <w:rFonts w:asciiTheme="majorHAnsi" w:eastAsiaTheme="minorHAnsi" w:hAnsiTheme="majorHAnsi" w:cstheme="majorHAnsi"/>
          <w:b/>
          <w:i/>
          <w:u w:val="single"/>
          <w:lang w:val="es-ES"/>
        </w:rPr>
        <w:t>reglamentación</w:t>
      </w:r>
      <w:r w:rsidR="00B337EC" w:rsidRPr="001C79D2">
        <w:rPr>
          <w:rFonts w:asciiTheme="majorHAnsi" w:eastAsiaTheme="minorHAnsi" w:hAnsiTheme="majorHAnsi" w:cstheme="majorHAnsi"/>
          <w:b/>
          <w:i/>
          <w:u w:val="single"/>
          <w:lang w:val="es-ES"/>
        </w:rPr>
        <w:t>;</w:t>
      </w:r>
      <w:r w:rsidR="0006260F" w:rsidRPr="001C79D2">
        <w:rPr>
          <w:rFonts w:asciiTheme="majorHAnsi" w:eastAsiaTheme="minorHAnsi" w:hAnsiTheme="majorHAnsi" w:cstheme="majorHAnsi"/>
          <w:b/>
          <w:i/>
          <w:u w:val="single"/>
          <w:lang w:val="es-ES"/>
        </w:rPr>
        <w:t xml:space="preserve"> </w:t>
      </w:r>
      <w:r w:rsidR="00B337EC" w:rsidRPr="001C79D2">
        <w:rPr>
          <w:rFonts w:asciiTheme="majorHAnsi" w:eastAsiaTheme="minorHAnsi" w:hAnsiTheme="majorHAnsi" w:cstheme="majorHAnsi"/>
          <w:b/>
          <w:i/>
          <w:u w:val="single"/>
          <w:lang w:val="es-ES"/>
        </w:rPr>
        <w:t>siempre y cuando la oferta que haya quedado en segundo lugar siga vigente.</w:t>
      </w:r>
    </w:p>
    <w:p w14:paraId="3264138E" w14:textId="77777777" w:rsidR="0006260F" w:rsidRPr="00370012" w:rsidRDefault="0006260F" w:rsidP="005A7B31">
      <w:pPr>
        <w:spacing w:after="0" w:line="240" w:lineRule="auto"/>
        <w:jc w:val="both"/>
        <w:rPr>
          <w:rFonts w:asciiTheme="majorHAnsi" w:eastAsiaTheme="minorHAnsi" w:hAnsiTheme="majorHAnsi" w:cstheme="majorHAnsi"/>
          <w:color w:val="FF0000"/>
          <w:lang w:val="es-ES"/>
        </w:rPr>
      </w:pPr>
    </w:p>
    <w:p w14:paraId="444EECB4" w14:textId="77777777" w:rsidR="00E84658" w:rsidRPr="001512DE" w:rsidRDefault="001512DE" w:rsidP="001512DE">
      <w:pPr>
        <w:pStyle w:val="Estilo2Car"/>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1512DE">
        <w:rPr>
          <w:rFonts w:asciiTheme="majorHAnsi" w:hAnsiTheme="majorHAnsi" w:cstheme="majorHAnsi"/>
        </w:rPr>
        <w:t>FRAUDE Y CORRUPCIÓN</w:t>
      </w:r>
    </w:p>
    <w:p w14:paraId="22DB7F1F" w14:textId="711E3C83"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1. La convocante exige que los participantes en los procedimientos de contratación, observen los más altos niveles éticos, ya sea durante el proceso de </w:t>
      </w:r>
      <w:r w:rsidR="00DA25BC">
        <w:rPr>
          <w:rFonts w:asciiTheme="majorHAnsi" w:eastAsia="Times New Roman" w:hAnsiTheme="majorHAnsi" w:cstheme="majorHAnsi"/>
          <w:color w:val="000000"/>
          <w:lang w:eastAsia="es-PY"/>
        </w:rPr>
        <w:t>procedimiento de adquisición</w:t>
      </w:r>
      <w:r w:rsidRPr="00370012">
        <w:rPr>
          <w:rFonts w:asciiTheme="majorHAnsi" w:eastAsia="Times New Roman" w:hAnsiTheme="majorHAnsi" w:cstheme="majorHAnsi"/>
          <w:color w:val="000000"/>
          <w:lang w:eastAsia="es-PY"/>
        </w:rPr>
        <w:t xml:space="preserve"> o de ejecución de un contrato. La convocante actuará frente a cualquier hecho o reclamación que se considere fraudulento o corrupto.</w:t>
      </w:r>
    </w:p>
    <w:p w14:paraId="59A897E9"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2. Si se comprueba que un funcionario público, o quien actúe en su lugar, y/o el oferente o adjudicatario propuesto en un proceso de contratación, hayan incurrido en prácticas fraudulentas o corruptas, la convocante deberá:         </w:t>
      </w:r>
    </w:p>
    <w:p w14:paraId="33D8A2B5"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(i) En la etapa de oferta, se descalificará cualquier oferta del oferente y/o rechazará cualquier propuesta de adjudicación relacionada con el proceso de adquisición o contratación de que se trate; y/o              </w:t>
      </w:r>
    </w:p>
    <w:p w14:paraId="18E6C429"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(ii)  Durante la ejecución del contrato, se rescindirá el contrato por causa imputable al proveedor;</w:t>
      </w:r>
    </w:p>
    <w:p w14:paraId="68001A88"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(iii) Se remitirán los antecedentes del oferente o proveedor directamente involucrado en las prácticas fraudulentas o corruptivas, a la Dirección Nacional de Contrataciones Públicas, a los efectos de la aplicación de las sanciones previstas. </w:t>
      </w:r>
    </w:p>
    <w:p w14:paraId="6706B1BD"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(iv) Se presentará la denuncia ante las instancias correspondientes si el hecho conocido se encontrare tipificado en la legislación penal.              </w:t>
      </w:r>
    </w:p>
    <w:p w14:paraId="06DD93CE"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b/>
          <w:color w:val="000000"/>
          <w:lang w:eastAsia="es-PY"/>
        </w:rPr>
        <w:t>Fraude y corrupción comprenden actos como</w:t>
      </w:r>
      <w:r w:rsidRPr="00370012">
        <w:rPr>
          <w:rFonts w:asciiTheme="majorHAnsi" w:eastAsia="Times New Roman" w:hAnsiTheme="majorHAnsi" w:cstheme="majorHAnsi"/>
          <w:color w:val="000000"/>
          <w:lang w:eastAsia="es-PY"/>
        </w:rPr>
        <w:t xml:space="preserve">: </w:t>
      </w:r>
    </w:p>
    <w:p w14:paraId="7D7BE7C6"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(i) Ofrecer, dar, recibir o solicitar, directa o indirectamente, cualquier cosa de valor para influenciar las acciones de otra parte;</w:t>
      </w:r>
    </w:p>
    <w:p w14:paraId="1577A200"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(ii) Cualquier acto u omisión, incluyendo la tergiversación de hechos y circunstancias, que engañen, o intenten engañar, a alguna parte para obtener un beneficio económico o de otra naturaleza o para evadir una obligación;   </w:t>
      </w:r>
    </w:p>
    <w:p w14:paraId="298E9246"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lastRenderedPageBreak/>
        <w:t xml:space="preserve">(iii) Perjudicar o causar daño, o amenazar con perjudicar o causar daño, directa o indirectamente, a cualquier parte o a sus bienes para influenciar las acciones de una parte;   </w:t>
      </w:r>
    </w:p>
    <w:p w14:paraId="5D8E4AB7"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 xml:space="preserve">(iv) Colusión o acuerdo entre dos o más partes realizado con la intención de alcanzar un propósito inapropiado, incluyendo influenciar en forma inapropiada las acciones de otra parte.     </w:t>
      </w:r>
    </w:p>
    <w:p w14:paraId="36D52CAB" w14:textId="77777777" w:rsidR="00E84658" w:rsidRPr="00370012"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(v) Cualquier otro acto considerado como tal en la legislación vigente.</w:t>
      </w:r>
    </w:p>
    <w:p w14:paraId="2B1F5BF6" w14:textId="78AEEB3A" w:rsidR="00E84658" w:rsidRDefault="00E84658" w:rsidP="00636C3A">
      <w:pPr>
        <w:spacing w:after="0"/>
        <w:jc w:val="both"/>
        <w:rPr>
          <w:rFonts w:asciiTheme="majorHAnsi" w:eastAsia="Times New Roman" w:hAnsiTheme="majorHAnsi" w:cstheme="majorHAnsi"/>
          <w:color w:val="000000"/>
          <w:lang w:eastAsia="es-PY"/>
        </w:rPr>
      </w:pPr>
      <w:r w:rsidRPr="00370012">
        <w:rPr>
          <w:rFonts w:asciiTheme="majorHAnsi" w:eastAsia="Times New Roman" w:hAnsiTheme="majorHAnsi" w:cstheme="majorHAnsi"/>
          <w:color w:val="000000"/>
          <w:lang w:eastAsia="es-PY"/>
        </w:rPr>
        <w:t>3. Los oferentes deberán declarar que por sí mismos o a través de interpósita persona, se abstendrán de adoptar conductas orientadas a que los funcionarios o empleados de la convocante induzcan o alteren las evaluaciones de las propuestas, el resultado del procedimiento u otros aspectos que les otorguen condiciones más ventajosas con relación a los demás participantes.</w:t>
      </w:r>
    </w:p>
    <w:p w14:paraId="6982F5D2" w14:textId="601D6CE7" w:rsidR="00137030" w:rsidRDefault="00137030" w:rsidP="00636C3A">
      <w:pPr>
        <w:spacing w:after="0"/>
        <w:jc w:val="both"/>
        <w:rPr>
          <w:rFonts w:asciiTheme="majorHAnsi" w:eastAsia="Times New Roman" w:hAnsiTheme="majorHAnsi" w:cstheme="majorHAnsi"/>
          <w:color w:val="000000"/>
          <w:lang w:eastAsia="es-PY"/>
        </w:rPr>
      </w:pPr>
    </w:p>
    <w:p w14:paraId="4C77792C" w14:textId="1CD564D9" w:rsidR="00137030" w:rsidRPr="001512DE" w:rsidRDefault="00137030" w:rsidP="00137030">
      <w:pPr>
        <w:pStyle w:val="Estilo2Car"/>
        <w:numPr>
          <w:ilvl w:val="0"/>
          <w:numId w:val="39"/>
        </w:num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Pr>
          <w:rFonts w:asciiTheme="majorHAnsi" w:hAnsiTheme="majorHAnsi" w:cstheme="majorHAnsi"/>
        </w:rPr>
        <w:t>PORCENTAJE DE MULTAS</w:t>
      </w:r>
    </w:p>
    <w:p w14:paraId="35D89FC7" w14:textId="418A89CC" w:rsidR="00137030" w:rsidRPr="00137030" w:rsidRDefault="00137030" w:rsidP="00137030">
      <w:pPr>
        <w:spacing w:after="0"/>
        <w:jc w:val="both"/>
        <w:rPr>
          <w:rFonts w:asciiTheme="majorHAnsi" w:eastAsia="Times New Roman" w:hAnsiTheme="majorHAnsi" w:cstheme="majorHAnsi"/>
          <w:color w:val="000000"/>
          <w:lang w:eastAsia="es-PY"/>
        </w:rPr>
      </w:pPr>
      <w:r w:rsidRPr="00137030">
        <w:rPr>
          <w:rFonts w:asciiTheme="majorHAnsi" w:eastAsia="Times New Roman" w:hAnsiTheme="majorHAnsi" w:cstheme="majorHAnsi"/>
          <w:color w:val="000000"/>
          <w:lang w:eastAsia="es-PY"/>
        </w:rPr>
        <w:t>El valor del porcentaje de multas que será aplicado por el atraso en la entrega de los bienes, será de:</w:t>
      </w:r>
    </w:p>
    <w:p w14:paraId="527670B4" w14:textId="77777777" w:rsidR="00137030" w:rsidRPr="00137030" w:rsidRDefault="00137030" w:rsidP="00137030">
      <w:pPr>
        <w:spacing w:after="0"/>
        <w:jc w:val="both"/>
        <w:rPr>
          <w:rFonts w:asciiTheme="majorHAnsi" w:eastAsia="Times New Roman" w:hAnsiTheme="majorHAnsi" w:cstheme="majorHAnsi"/>
          <w:color w:val="000000"/>
          <w:lang w:eastAsia="es-PY"/>
        </w:rPr>
      </w:pPr>
      <w:r w:rsidRPr="00137030">
        <w:rPr>
          <w:rFonts w:asciiTheme="majorHAnsi" w:eastAsia="Times New Roman" w:hAnsiTheme="majorHAnsi" w:cstheme="majorHAnsi"/>
          <w:color w:val="000000"/>
          <w:lang w:eastAsia="es-PY"/>
        </w:rPr>
        <w:t>0,10 %</w:t>
      </w:r>
    </w:p>
    <w:p w14:paraId="25029846" w14:textId="60ED2E9A" w:rsidR="00137030" w:rsidRPr="00137030" w:rsidRDefault="00137030" w:rsidP="00137030">
      <w:pPr>
        <w:spacing w:after="0"/>
        <w:jc w:val="both"/>
        <w:rPr>
          <w:rFonts w:asciiTheme="majorHAnsi" w:eastAsia="Times New Roman" w:hAnsiTheme="majorHAnsi" w:cstheme="majorHAnsi"/>
          <w:color w:val="000000"/>
          <w:lang w:eastAsia="es-PY"/>
        </w:rPr>
      </w:pPr>
      <w:r w:rsidRPr="00137030">
        <w:rPr>
          <w:rFonts w:asciiTheme="majorHAnsi" w:eastAsia="Times New Roman" w:hAnsiTheme="majorHAnsi" w:cstheme="majorHAnsi"/>
          <w:color w:val="000000"/>
          <w:lang w:eastAsia="es-PY"/>
        </w:rPr>
        <w:t>La contratante podrá deducir en concepto de multas una suma equivalente al porcentaje del precio de entrega de los bienes</w:t>
      </w:r>
      <w:r>
        <w:rPr>
          <w:rFonts w:asciiTheme="majorHAnsi" w:eastAsia="Times New Roman" w:hAnsiTheme="majorHAnsi" w:cstheme="majorHAnsi"/>
          <w:color w:val="000000"/>
          <w:lang w:eastAsia="es-PY"/>
        </w:rPr>
        <w:t xml:space="preserve"> </w:t>
      </w:r>
      <w:r w:rsidRPr="00137030">
        <w:rPr>
          <w:rFonts w:asciiTheme="majorHAnsi" w:eastAsia="Times New Roman" w:hAnsiTheme="majorHAnsi" w:cstheme="majorHAnsi"/>
          <w:color w:val="000000"/>
          <w:lang w:eastAsia="es-PY"/>
        </w:rPr>
        <w:t>atrasados, por cada día de atraso indicado en este apartado.</w:t>
      </w:r>
    </w:p>
    <w:p w14:paraId="63E7BE2C" w14:textId="6F988B85" w:rsidR="00137030" w:rsidRDefault="00137030" w:rsidP="00137030">
      <w:pPr>
        <w:spacing w:after="0"/>
        <w:jc w:val="both"/>
        <w:rPr>
          <w:rFonts w:asciiTheme="majorHAnsi" w:eastAsia="Times New Roman" w:hAnsiTheme="majorHAnsi" w:cstheme="majorHAnsi"/>
          <w:color w:val="000000"/>
          <w:lang w:eastAsia="es-PY"/>
        </w:rPr>
      </w:pPr>
      <w:r w:rsidRPr="00137030">
        <w:rPr>
          <w:rFonts w:asciiTheme="majorHAnsi" w:eastAsia="Times New Roman" w:hAnsiTheme="majorHAnsi" w:cstheme="majorHAnsi"/>
          <w:color w:val="000000"/>
          <w:lang w:eastAsia="es-PY"/>
        </w:rPr>
        <w:t>La aplicación de multas no libera al proveedor del cumplimiento de sus obligaciones contractuales.</w:t>
      </w:r>
    </w:p>
    <w:p w14:paraId="20D2CE8F" w14:textId="524AF64D" w:rsidR="00413EE8" w:rsidRDefault="00413EE8">
      <w:pPr>
        <w:spacing w:after="160" w:line="259" w:lineRule="auto"/>
        <w:rPr>
          <w:rFonts w:asciiTheme="majorHAnsi" w:eastAsia="Times New Roman" w:hAnsiTheme="majorHAnsi" w:cstheme="majorHAnsi"/>
          <w:color w:val="000000"/>
          <w:lang w:eastAsia="es-PY"/>
        </w:rPr>
      </w:pPr>
      <w:r>
        <w:rPr>
          <w:rFonts w:asciiTheme="majorHAnsi" w:eastAsia="Times New Roman" w:hAnsiTheme="majorHAnsi" w:cstheme="majorHAnsi"/>
          <w:color w:val="000000"/>
          <w:lang w:eastAsia="es-PY"/>
        </w:rPr>
        <w:br w:type="page"/>
      </w:r>
    </w:p>
    <w:p w14:paraId="20D7C436" w14:textId="77777777" w:rsidR="00413EE8" w:rsidRPr="00370012" w:rsidRDefault="00413EE8" w:rsidP="00636C3A">
      <w:pPr>
        <w:spacing w:after="0"/>
        <w:jc w:val="both"/>
        <w:rPr>
          <w:rFonts w:asciiTheme="majorHAnsi" w:eastAsia="Times New Roman" w:hAnsiTheme="majorHAnsi" w:cstheme="majorHAnsi"/>
          <w:color w:val="000000"/>
          <w:lang w:eastAsia="es-PY"/>
        </w:rPr>
      </w:pPr>
    </w:p>
    <w:p w14:paraId="6D17BCEA" w14:textId="77777777" w:rsidR="00E84658" w:rsidRPr="00370012" w:rsidRDefault="00E84658" w:rsidP="002A42DF">
      <w:pPr>
        <w:pStyle w:val="Hipervncu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A3C3C"/>
        <w:rPr>
          <w:rFonts w:asciiTheme="majorHAnsi" w:hAnsiTheme="majorHAnsi" w:cstheme="majorHAnsi"/>
        </w:rPr>
      </w:pPr>
      <w:r w:rsidRPr="00370012">
        <w:rPr>
          <w:rFonts w:asciiTheme="majorHAnsi" w:hAnsiTheme="majorHAnsi" w:cstheme="majorHAnsi"/>
        </w:rPr>
        <w:t>FORMULARIOS</w:t>
      </w:r>
    </w:p>
    <w:p w14:paraId="42B740F6" w14:textId="77777777" w:rsidR="00E84658" w:rsidRPr="00370012" w:rsidRDefault="00E84658" w:rsidP="00636C3A">
      <w:pPr>
        <w:numPr>
          <w:ilvl w:val="12"/>
          <w:numId w:val="0"/>
        </w:numPr>
        <w:tabs>
          <w:tab w:val="left" w:leader="underscore" w:pos="7200"/>
        </w:tabs>
        <w:suppressAutoHyphens/>
        <w:spacing w:after="0"/>
        <w:jc w:val="both"/>
        <w:rPr>
          <w:rFonts w:asciiTheme="majorHAnsi" w:eastAsia="Times New Roman" w:hAnsiTheme="majorHAnsi" w:cstheme="majorHAnsi"/>
          <w:iCs/>
          <w:color w:val="000000"/>
          <w:lang w:val="es-ES" w:eastAsia="es-ES"/>
        </w:rPr>
      </w:pPr>
      <w:r w:rsidRPr="00370012">
        <w:rPr>
          <w:rFonts w:asciiTheme="majorHAnsi" w:eastAsia="Times New Roman" w:hAnsiTheme="majorHAnsi" w:cstheme="majorHAnsi"/>
          <w:b/>
          <w:i/>
          <w:iCs/>
          <w:lang w:val="es-ES" w:eastAsia="es-ES"/>
        </w:rPr>
        <w:t xml:space="preserve">LA SECCIÓN FORMULARIOS SE ENCUENTRA DISPONIBLE EN </w:t>
      </w:r>
      <w:r w:rsidR="00443819">
        <w:rPr>
          <w:rFonts w:asciiTheme="majorHAnsi" w:eastAsia="Times New Roman" w:hAnsiTheme="majorHAnsi" w:cstheme="majorHAnsi"/>
          <w:b/>
          <w:i/>
          <w:iCs/>
          <w:lang w:val="es-ES" w:eastAsia="es-ES"/>
        </w:rPr>
        <w:t>LA PÁGINA WEB</w:t>
      </w:r>
      <w:r w:rsidRPr="00370012">
        <w:rPr>
          <w:rFonts w:asciiTheme="majorHAnsi" w:eastAsia="Times New Roman" w:hAnsiTheme="majorHAnsi" w:cstheme="majorHAnsi"/>
          <w:b/>
          <w:i/>
          <w:iCs/>
          <w:lang w:val="es-ES" w:eastAsia="es-ES"/>
        </w:rPr>
        <w:t>, A FIN DE QUE EL OFERENTE LOS PUEDA UTILIZAR EN LA PREPARACIÓN DE SU OFERTA</w:t>
      </w:r>
    </w:p>
    <w:p w14:paraId="0B440333" w14:textId="77777777" w:rsidR="003A3E4B" w:rsidRPr="00370012" w:rsidRDefault="003A3E4B" w:rsidP="00687675">
      <w:pPr>
        <w:tabs>
          <w:tab w:val="left" w:pos="1545"/>
        </w:tabs>
        <w:rPr>
          <w:rFonts w:asciiTheme="majorHAnsi" w:eastAsia="Times New Roman" w:hAnsiTheme="majorHAnsi" w:cstheme="majorHAnsi"/>
          <w:lang w:eastAsia="es-PY"/>
        </w:rPr>
      </w:pPr>
    </w:p>
    <w:sectPr w:rsidR="003A3E4B" w:rsidRPr="00370012" w:rsidSect="00084250">
      <w:headerReference w:type="even" r:id="rId14"/>
      <w:headerReference w:type="default" r:id="rId15"/>
      <w:headerReference w:type="first" r:id="rId16"/>
      <w:pgSz w:w="12240" w:h="18720" w:code="14"/>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3E9C" w14:textId="77777777" w:rsidR="007637BF" w:rsidRDefault="007637BF" w:rsidP="00E2228D">
      <w:pPr>
        <w:spacing w:after="0" w:line="240" w:lineRule="auto"/>
      </w:pPr>
      <w:r>
        <w:separator/>
      </w:r>
    </w:p>
  </w:endnote>
  <w:endnote w:type="continuationSeparator" w:id="0">
    <w:p w14:paraId="0DD40278" w14:textId="77777777" w:rsidR="007637BF" w:rsidRDefault="007637BF" w:rsidP="00E22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A7A0D" w14:textId="77777777" w:rsidR="007637BF" w:rsidRDefault="007637BF" w:rsidP="00E2228D">
      <w:pPr>
        <w:spacing w:after="0" w:line="240" w:lineRule="auto"/>
      </w:pPr>
      <w:r>
        <w:separator/>
      </w:r>
    </w:p>
  </w:footnote>
  <w:footnote w:type="continuationSeparator" w:id="0">
    <w:p w14:paraId="742F46DD" w14:textId="77777777" w:rsidR="007637BF" w:rsidRDefault="007637BF" w:rsidP="00E22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9C08" w14:textId="340D9B2F" w:rsidR="00045230" w:rsidRDefault="000876B8">
    <w:pPr>
      <w:pStyle w:val="titulo"/>
    </w:pPr>
    <w:r>
      <w:rPr>
        <w:noProof/>
      </w:rPr>
      <w:pict w14:anchorId="0907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501" o:spid="_x0000_s1026" type="#_x0000_t75" style="position:absolute;left:0;text-align:left;margin-left:0;margin-top:0;width:425pt;height:425pt;z-index:-251657216;mso-position-horizontal:center;mso-position-horizontal-relative:margin;mso-position-vertical:center;mso-position-vertical-relative:margin" o:allowincell="f">
          <v:imagedata r:id="rId1" o:title="Univ-Nacional-Asuncion-Logo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6404" w14:textId="7057781B" w:rsidR="00045230" w:rsidRDefault="000876B8">
    <w:pPr>
      <w:pStyle w:val="titulo"/>
    </w:pPr>
    <w:r>
      <w:rPr>
        <w:noProof/>
      </w:rPr>
      <w:pict w14:anchorId="66A79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502" o:spid="_x0000_s1027" type="#_x0000_t75" style="position:absolute;left:0;text-align:left;margin-left:0;margin-top:0;width:425pt;height:425pt;z-index:-251656192;mso-position-horizontal:center;mso-position-horizontal-relative:margin;mso-position-vertical:center;mso-position-vertical-relative:margin" o:allowincell="f">
          <v:imagedata r:id="rId1" o:title="Univ-Nacional-Asuncion-Logo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71DB" w14:textId="0FD9DD1F" w:rsidR="00045230" w:rsidRDefault="000876B8">
    <w:pPr>
      <w:pStyle w:val="titulo"/>
    </w:pPr>
    <w:r>
      <w:rPr>
        <w:noProof/>
      </w:rPr>
      <w:pict w14:anchorId="3404B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500" o:spid="_x0000_s1025" type="#_x0000_t75" style="position:absolute;left:0;text-align:left;margin-left:0;margin-top:0;width:425pt;height:425pt;z-index:-251658240;mso-position-horizontal:center;mso-position-horizontal-relative:margin;mso-position-vertical:center;mso-position-vertical-relative:margin" o:allowincell="f">
          <v:imagedata r:id="rId1" o:title="Univ-Nacional-Asuncion-Logo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3C4"/>
    <w:multiLevelType w:val="hybridMultilevel"/>
    <w:tmpl w:val="41BAD124"/>
    <w:lvl w:ilvl="0" w:tplc="3C0A0017">
      <w:start w:val="1"/>
      <w:numFmt w:val="lowerLetter"/>
      <w:lvlText w:val="%1)"/>
      <w:lvlJc w:val="left"/>
      <w:pPr>
        <w:ind w:left="720" w:hanging="360"/>
      </w:pPr>
      <w:rPr>
        <w:rFonts w:hint="default"/>
      </w:rPr>
    </w:lvl>
    <w:lvl w:ilvl="1" w:tplc="3C0A001B">
      <w:start w:val="1"/>
      <w:numFmt w:val="lowerRoman"/>
      <w:lvlText w:val="%2."/>
      <w:lvlJc w:val="right"/>
      <w:pPr>
        <w:ind w:left="1440" w:hanging="360"/>
      </w:pPr>
    </w:lvl>
    <w:lvl w:ilvl="2" w:tplc="3C0A001B">
      <w:start w:val="1"/>
      <w:numFmt w:val="lowerRoman"/>
      <w:lvlText w:val="%3."/>
      <w:lvlJc w:val="right"/>
      <w:pPr>
        <w:ind w:left="1314" w:hanging="180"/>
      </w:pPr>
    </w:lvl>
    <w:lvl w:ilvl="3" w:tplc="0874B9D6">
      <w:start w:val="7"/>
      <w:numFmt w:val="decimal"/>
      <w:lvlText w:val="%4."/>
      <w:lvlJc w:val="left"/>
      <w:pPr>
        <w:ind w:left="2880" w:hanging="360"/>
      </w:pPr>
      <w:rPr>
        <w:rFonts w:hint="default"/>
      </w:rPr>
    </w:lvl>
    <w:lvl w:ilvl="4" w:tplc="0C686B82">
      <w:start w:val="4"/>
      <w:numFmt w:val="bullet"/>
      <w:lvlText w:val=""/>
      <w:lvlJc w:val="left"/>
      <w:pPr>
        <w:ind w:left="3600" w:hanging="360"/>
      </w:pPr>
      <w:rPr>
        <w:rFonts w:ascii="Symbol" w:eastAsia="Calibri" w:hAnsi="Symbol" w:cstheme="minorHAnsi" w:hint="default"/>
      </w:r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 w15:restartNumberingAfterBreak="0">
    <w:nsid w:val="02825EED"/>
    <w:multiLevelType w:val="hybridMultilevel"/>
    <w:tmpl w:val="62AA9774"/>
    <w:lvl w:ilvl="0" w:tplc="47CCD60E">
      <w:start w:val="26"/>
      <w:numFmt w:val="decimal"/>
      <w:lvlText w:val="%1."/>
      <w:lvlJc w:val="left"/>
      <w:pPr>
        <w:ind w:left="360" w:hanging="360"/>
      </w:pPr>
      <w:rPr>
        <w:rFonts w:hint="default"/>
      </w:rPr>
    </w:lvl>
    <w:lvl w:ilvl="1" w:tplc="3C0A0019" w:tentative="1">
      <w:start w:val="1"/>
      <w:numFmt w:val="lowerLetter"/>
      <w:lvlText w:val="%2."/>
      <w:lvlJc w:val="left"/>
      <w:pPr>
        <w:ind w:left="1091" w:hanging="360"/>
      </w:pPr>
    </w:lvl>
    <w:lvl w:ilvl="2" w:tplc="3C0A001B" w:tentative="1">
      <w:start w:val="1"/>
      <w:numFmt w:val="lowerRoman"/>
      <w:lvlText w:val="%3."/>
      <w:lvlJc w:val="right"/>
      <w:pPr>
        <w:ind w:left="1811" w:hanging="180"/>
      </w:pPr>
    </w:lvl>
    <w:lvl w:ilvl="3" w:tplc="3C0A000F" w:tentative="1">
      <w:start w:val="1"/>
      <w:numFmt w:val="decimal"/>
      <w:lvlText w:val="%4."/>
      <w:lvlJc w:val="left"/>
      <w:pPr>
        <w:ind w:left="2531" w:hanging="360"/>
      </w:pPr>
    </w:lvl>
    <w:lvl w:ilvl="4" w:tplc="3C0A0019" w:tentative="1">
      <w:start w:val="1"/>
      <w:numFmt w:val="lowerLetter"/>
      <w:lvlText w:val="%5."/>
      <w:lvlJc w:val="left"/>
      <w:pPr>
        <w:ind w:left="3251" w:hanging="360"/>
      </w:pPr>
    </w:lvl>
    <w:lvl w:ilvl="5" w:tplc="3C0A001B" w:tentative="1">
      <w:start w:val="1"/>
      <w:numFmt w:val="lowerRoman"/>
      <w:lvlText w:val="%6."/>
      <w:lvlJc w:val="right"/>
      <w:pPr>
        <w:ind w:left="3971" w:hanging="180"/>
      </w:pPr>
    </w:lvl>
    <w:lvl w:ilvl="6" w:tplc="3C0A000F" w:tentative="1">
      <w:start w:val="1"/>
      <w:numFmt w:val="decimal"/>
      <w:lvlText w:val="%7."/>
      <w:lvlJc w:val="left"/>
      <w:pPr>
        <w:ind w:left="4691" w:hanging="360"/>
      </w:pPr>
    </w:lvl>
    <w:lvl w:ilvl="7" w:tplc="3C0A0019" w:tentative="1">
      <w:start w:val="1"/>
      <w:numFmt w:val="lowerLetter"/>
      <w:lvlText w:val="%8."/>
      <w:lvlJc w:val="left"/>
      <w:pPr>
        <w:ind w:left="5411" w:hanging="360"/>
      </w:pPr>
    </w:lvl>
    <w:lvl w:ilvl="8" w:tplc="3C0A001B" w:tentative="1">
      <w:start w:val="1"/>
      <w:numFmt w:val="lowerRoman"/>
      <w:lvlText w:val="%9."/>
      <w:lvlJc w:val="right"/>
      <w:pPr>
        <w:ind w:left="6131" w:hanging="180"/>
      </w:pPr>
    </w:lvl>
  </w:abstractNum>
  <w:abstractNum w:abstractNumId="2" w15:restartNumberingAfterBreak="0">
    <w:nsid w:val="036B58A2"/>
    <w:multiLevelType w:val="hybridMultilevel"/>
    <w:tmpl w:val="D338CB76"/>
    <w:lvl w:ilvl="0" w:tplc="18ACDF1A">
      <w:start w:val="21"/>
      <w:numFmt w:val="decimal"/>
      <w:lvlText w:val="%1."/>
      <w:lvlJc w:val="left"/>
      <w:pPr>
        <w:ind w:left="644" w:hanging="360"/>
      </w:pPr>
      <w:rPr>
        <w:rFonts w:ascii="Calibri" w:hAnsi="Calibri" w:cs="Times New Roman" w:hint="default"/>
        <w:b/>
        <w:color w:val="auto"/>
      </w:rPr>
    </w:lvl>
    <w:lvl w:ilvl="1" w:tplc="3C0A0019">
      <w:start w:val="1"/>
      <w:numFmt w:val="lowerLetter"/>
      <w:lvlText w:val="%2."/>
      <w:lvlJc w:val="left"/>
      <w:pPr>
        <w:ind w:left="1364" w:hanging="360"/>
      </w:pPr>
    </w:lvl>
    <w:lvl w:ilvl="2" w:tplc="3C0A001B">
      <w:start w:val="1"/>
      <w:numFmt w:val="lowerRoman"/>
      <w:lvlText w:val="%3."/>
      <w:lvlJc w:val="right"/>
      <w:pPr>
        <w:ind w:left="2084" w:hanging="180"/>
      </w:pPr>
    </w:lvl>
    <w:lvl w:ilvl="3" w:tplc="C414DA26">
      <w:start w:val="1"/>
      <w:numFmt w:val="decimal"/>
      <w:lvlText w:val="%4"/>
      <w:lvlJc w:val="left"/>
      <w:pPr>
        <w:ind w:left="2804" w:hanging="360"/>
      </w:pPr>
      <w:rPr>
        <w:rFonts w:hint="default"/>
        <w:i w:val="0"/>
      </w:r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3" w15:restartNumberingAfterBreak="0">
    <w:nsid w:val="04AF6160"/>
    <w:multiLevelType w:val="multilevel"/>
    <w:tmpl w:val="1CBCA694"/>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B22B78"/>
    <w:multiLevelType w:val="hybridMultilevel"/>
    <w:tmpl w:val="C558370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764812"/>
    <w:multiLevelType w:val="hybridMultilevel"/>
    <w:tmpl w:val="173CA1AC"/>
    <w:lvl w:ilvl="0" w:tplc="0C0A0011">
      <w:start w:val="1"/>
      <w:numFmt w:val="decimal"/>
      <w:lvlText w:val="%1)"/>
      <w:lvlJc w:val="left"/>
      <w:pPr>
        <w:ind w:left="360" w:hanging="360"/>
      </w:pPr>
      <w:rPr>
        <w:rFonts w:hint="default"/>
        <w:b/>
        <w:sz w:val="22"/>
        <w:szCs w:val="22"/>
        <w:u w:val="none"/>
      </w:rPr>
    </w:lvl>
    <w:lvl w:ilvl="1" w:tplc="3C0A0019">
      <w:start w:val="1"/>
      <w:numFmt w:val="lowerLetter"/>
      <w:lvlText w:val="%2."/>
      <w:lvlJc w:val="left"/>
      <w:pPr>
        <w:ind w:left="1080" w:hanging="360"/>
      </w:pPr>
    </w:lvl>
    <w:lvl w:ilvl="2" w:tplc="C6227812">
      <w:start w:val="1"/>
      <w:numFmt w:val="lowerLetter"/>
      <w:lvlText w:val="%3)"/>
      <w:lvlJc w:val="left"/>
      <w:pPr>
        <w:ind w:left="1980" w:hanging="360"/>
      </w:pPr>
      <w:rPr>
        <w:rFonts w:ascii="Calibri" w:hAnsi="Calibri" w:cs="Times New Roman" w:hint="default"/>
        <w:color w:val="auto"/>
      </w:rPr>
    </w:lvl>
    <w:lvl w:ilvl="3" w:tplc="3C0A000F">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6" w15:restartNumberingAfterBreak="0">
    <w:nsid w:val="0F067AFE"/>
    <w:multiLevelType w:val="hybridMultilevel"/>
    <w:tmpl w:val="4D3EA3D4"/>
    <w:lvl w:ilvl="0" w:tplc="87AAE9C8">
      <w:start w:val="8"/>
      <w:numFmt w:val="decimal"/>
      <w:lvlText w:val="%1."/>
      <w:lvlJc w:val="left"/>
      <w:pPr>
        <w:ind w:left="786" w:hanging="360"/>
      </w:pPr>
      <w:rPr>
        <w:rFonts w:asciiTheme="minorHAnsi" w:hAnsiTheme="minorHAnsi" w:cstheme="minorHAnsi" w:hint="default"/>
        <w:b/>
        <w:sz w:val="22"/>
        <w:szCs w:val="22"/>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1356002D"/>
    <w:multiLevelType w:val="hybridMultilevel"/>
    <w:tmpl w:val="32DEC134"/>
    <w:lvl w:ilvl="0" w:tplc="97C4B9EC">
      <w:start w:val="1"/>
      <w:numFmt w:val="decimal"/>
      <w:lvlText w:val="%1."/>
      <w:lvlJc w:val="left"/>
      <w:pPr>
        <w:ind w:left="360" w:hanging="360"/>
      </w:pPr>
      <w:rPr>
        <w:rFonts w:asciiTheme="minorHAnsi" w:hAnsiTheme="minorHAnsi" w:cstheme="minorHAnsi" w:hint="default"/>
        <w:b/>
        <w:sz w:val="22"/>
        <w:szCs w:val="22"/>
        <w:u w:val="none"/>
      </w:rPr>
    </w:lvl>
    <w:lvl w:ilvl="1" w:tplc="3C0A0019">
      <w:start w:val="1"/>
      <w:numFmt w:val="lowerLetter"/>
      <w:lvlText w:val="%2."/>
      <w:lvlJc w:val="left"/>
      <w:pPr>
        <w:ind w:left="1080" w:hanging="360"/>
      </w:pPr>
    </w:lvl>
    <w:lvl w:ilvl="2" w:tplc="C6227812">
      <w:start w:val="1"/>
      <w:numFmt w:val="lowerLetter"/>
      <w:lvlText w:val="%3)"/>
      <w:lvlJc w:val="left"/>
      <w:pPr>
        <w:ind w:left="1980" w:hanging="360"/>
      </w:pPr>
      <w:rPr>
        <w:rFonts w:ascii="Calibri" w:hAnsi="Calibri" w:cs="Times New Roman" w:hint="default"/>
        <w:color w:val="auto"/>
      </w:rPr>
    </w:lvl>
    <w:lvl w:ilvl="3" w:tplc="3C0A000F">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8" w15:restartNumberingAfterBreak="0">
    <w:nsid w:val="14471DB6"/>
    <w:multiLevelType w:val="hybridMultilevel"/>
    <w:tmpl w:val="1BAAB76E"/>
    <w:lvl w:ilvl="0" w:tplc="3C0A0001">
      <w:start w:val="1"/>
      <w:numFmt w:val="bullet"/>
      <w:lvlText w:val=""/>
      <w:lvlJc w:val="left"/>
      <w:pPr>
        <w:ind w:left="1287" w:hanging="360"/>
      </w:pPr>
      <w:rPr>
        <w:rFonts w:ascii="Symbol" w:hAnsi="Symbol" w:hint="default"/>
        <w:sz w:val="20"/>
        <w:szCs w:val="2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14BC1384"/>
    <w:multiLevelType w:val="multilevel"/>
    <w:tmpl w:val="BDEE0558"/>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0D2F8B"/>
    <w:multiLevelType w:val="hybridMultilevel"/>
    <w:tmpl w:val="279867E6"/>
    <w:lvl w:ilvl="0" w:tplc="0C0A0001">
      <w:start w:val="1"/>
      <w:numFmt w:val="bullet"/>
      <w:lvlText w:val=""/>
      <w:lvlJc w:val="left"/>
      <w:pPr>
        <w:ind w:left="1151" w:hanging="360"/>
      </w:pPr>
      <w:rPr>
        <w:rFonts w:ascii="Symbol" w:hAnsi="Symbol" w:hint="default"/>
      </w:rPr>
    </w:lvl>
    <w:lvl w:ilvl="1" w:tplc="0C0A0003" w:tentative="1">
      <w:start w:val="1"/>
      <w:numFmt w:val="bullet"/>
      <w:lvlText w:val="o"/>
      <w:lvlJc w:val="left"/>
      <w:pPr>
        <w:ind w:left="1871" w:hanging="360"/>
      </w:pPr>
      <w:rPr>
        <w:rFonts w:ascii="Courier New" w:hAnsi="Courier New" w:cs="Courier New" w:hint="default"/>
      </w:rPr>
    </w:lvl>
    <w:lvl w:ilvl="2" w:tplc="0C0A0005" w:tentative="1">
      <w:start w:val="1"/>
      <w:numFmt w:val="bullet"/>
      <w:lvlText w:val=""/>
      <w:lvlJc w:val="left"/>
      <w:pPr>
        <w:ind w:left="2591" w:hanging="360"/>
      </w:pPr>
      <w:rPr>
        <w:rFonts w:ascii="Wingdings" w:hAnsi="Wingdings" w:hint="default"/>
      </w:rPr>
    </w:lvl>
    <w:lvl w:ilvl="3" w:tplc="0C0A0001" w:tentative="1">
      <w:start w:val="1"/>
      <w:numFmt w:val="bullet"/>
      <w:lvlText w:val=""/>
      <w:lvlJc w:val="left"/>
      <w:pPr>
        <w:ind w:left="3311" w:hanging="360"/>
      </w:pPr>
      <w:rPr>
        <w:rFonts w:ascii="Symbol" w:hAnsi="Symbol" w:hint="default"/>
      </w:rPr>
    </w:lvl>
    <w:lvl w:ilvl="4" w:tplc="0C0A0003" w:tentative="1">
      <w:start w:val="1"/>
      <w:numFmt w:val="bullet"/>
      <w:lvlText w:val="o"/>
      <w:lvlJc w:val="left"/>
      <w:pPr>
        <w:ind w:left="4031" w:hanging="360"/>
      </w:pPr>
      <w:rPr>
        <w:rFonts w:ascii="Courier New" w:hAnsi="Courier New" w:cs="Courier New" w:hint="default"/>
      </w:rPr>
    </w:lvl>
    <w:lvl w:ilvl="5" w:tplc="0C0A0005" w:tentative="1">
      <w:start w:val="1"/>
      <w:numFmt w:val="bullet"/>
      <w:lvlText w:val=""/>
      <w:lvlJc w:val="left"/>
      <w:pPr>
        <w:ind w:left="4751" w:hanging="360"/>
      </w:pPr>
      <w:rPr>
        <w:rFonts w:ascii="Wingdings" w:hAnsi="Wingdings" w:hint="default"/>
      </w:rPr>
    </w:lvl>
    <w:lvl w:ilvl="6" w:tplc="0C0A0001" w:tentative="1">
      <w:start w:val="1"/>
      <w:numFmt w:val="bullet"/>
      <w:lvlText w:val=""/>
      <w:lvlJc w:val="left"/>
      <w:pPr>
        <w:ind w:left="5471" w:hanging="360"/>
      </w:pPr>
      <w:rPr>
        <w:rFonts w:ascii="Symbol" w:hAnsi="Symbol" w:hint="default"/>
      </w:rPr>
    </w:lvl>
    <w:lvl w:ilvl="7" w:tplc="0C0A0003" w:tentative="1">
      <w:start w:val="1"/>
      <w:numFmt w:val="bullet"/>
      <w:lvlText w:val="o"/>
      <w:lvlJc w:val="left"/>
      <w:pPr>
        <w:ind w:left="6191" w:hanging="360"/>
      </w:pPr>
      <w:rPr>
        <w:rFonts w:ascii="Courier New" w:hAnsi="Courier New" w:cs="Courier New" w:hint="default"/>
      </w:rPr>
    </w:lvl>
    <w:lvl w:ilvl="8" w:tplc="0C0A0005" w:tentative="1">
      <w:start w:val="1"/>
      <w:numFmt w:val="bullet"/>
      <w:lvlText w:val=""/>
      <w:lvlJc w:val="left"/>
      <w:pPr>
        <w:ind w:left="6911" w:hanging="360"/>
      </w:pPr>
      <w:rPr>
        <w:rFonts w:ascii="Wingdings" w:hAnsi="Wingdings" w:hint="default"/>
      </w:rPr>
    </w:lvl>
  </w:abstractNum>
  <w:abstractNum w:abstractNumId="11" w15:restartNumberingAfterBreak="0">
    <w:nsid w:val="181D4375"/>
    <w:multiLevelType w:val="hybridMultilevel"/>
    <w:tmpl w:val="4796BAE2"/>
    <w:lvl w:ilvl="0" w:tplc="0ECE5D34">
      <w:start w:val="1"/>
      <w:numFmt w:val="lowerLetter"/>
      <w:lvlText w:val="%1."/>
      <w:lvlJc w:val="left"/>
      <w:pPr>
        <w:ind w:left="144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7B6CE3"/>
    <w:multiLevelType w:val="hybridMultilevel"/>
    <w:tmpl w:val="A070880C"/>
    <w:lvl w:ilvl="0" w:tplc="D7300F16">
      <w:start w:val="20"/>
      <w:numFmt w:val="decimal"/>
      <w:lvlText w:val="%1."/>
      <w:lvlJc w:val="left"/>
      <w:pPr>
        <w:ind w:left="360" w:hanging="360"/>
      </w:pPr>
      <w:rPr>
        <w:rFonts w:asciiTheme="minorHAnsi" w:hAnsiTheme="minorHAnsi" w:cstheme="minorHAnsi" w:hint="default"/>
        <w:b/>
        <w:color w:val="auto"/>
      </w:rPr>
    </w:lvl>
    <w:lvl w:ilvl="1" w:tplc="3C0A0019" w:tentative="1">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13" w15:restartNumberingAfterBreak="0">
    <w:nsid w:val="19492885"/>
    <w:multiLevelType w:val="hybridMultilevel"/>
    <w:tmpl w:val="90AA3172"/>
    <w:lvl w:ilvl="0" w:tplc="0C0A0017">
      <w:start w:val="1"/>
      <w:numFmt w:val="lowerLetter"/>
      <w:lvlText w:val="%1)"/>
      <w:lvlJc w:val="left"/>
      <w:pPr>
        <w:ind w:left="720" w:hanging="360"/>
      </w:pPr>
      <w:rPr>
        <w:rFonts w:hint="default"/>
        <w:i w:val="0"/>
      </w:rPr>
    </w:lvl>
    <w:lvl w:ilvl="1" w:tplc="589CB754">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E44C18"/>
    <w:multiLevelType w:val="hybridMultilevel"/>
    <w:tmpl w:val="5D6C8E70"/>
    <w:lvl w:ilvl="0" w:tplc="DF787EAE">
      <w:start w:val="11"/>
      <w:numFmt w:val="decimal"/>
      <w:lvlText w:val="%1."/>
      <w:lvlJc w:val="left"/>
      <w:pPr>
        <w:ind w:left="786" w:hanging="360"/>
      </w:pPr>
      <w:rPr>
        <w:rFonts w:ascii="Calibri" w:hAnsi="Calibri" w:cs="Times New Roman" w:hint="default"/>
        <w:b/>
        <w:color w:val="auto"/>
        <w:sz w:val="22"/>
        <w:szCs w:val="22"/>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15" w15:restartNumberingAfterBreak="0">
    <w:nsid w:val="1C407644"/>
    <w:multiLevelType w:val="hybridMultilevel"/>
    <w:tmpl w:val="0C14CB4A"/>
    <w:lvl w:ilvl="0" w:tplc="3C0A000F">
      <w:start w:val="1"/>
      <w:numFmt w:val="decimal"/>
      <w:lvlText w:val="%1."/>
      <w:lvlJc w:val="left"/>
      <w:pPr>
        <w:ind w:left="720" w:hanging="360"/>
      </w:pPr>
      <w:rPr>
        <w:rFonts w:hint="default"/>
        <w:i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15:restartNumberingAfterBreak="0">
    <w:nsid w:val="1CF8101C"/>
    <w:multiLevelType w:val="hybridMultilevel"/>
    <w:tmpl w:val="589A7C28"/>
    <w:lvl w:ilvl="0" w:tplc="3C0A0001">
      <w:start w:val="1"/>
      <w:numFmt w:val="bullet"/>
      <w:lvlText w:val=""/>
      <w:lvlJc w:val="left"/>
      <w:pPr>
        <w:ind w:left="1029" w:hanging="360"/>
      </w:pPr>
      <w:rPr>
        <w:rFonts w:ascii="Symbol" w:hAnsi="Symbol" w:hint="default"/>
      </w:rPr>
    </w:lvl>
    <w:lvl w:ilvl="1" w:tplc="3C0A0003" w:tentative="1">
      <w:start w:val="1"/>
      <w:numFmt w:val="bullet"/>
      <w:lvlText w:val="o"/>
      <w:lvlJc w:val="left"/>
      <w:pPr>
        <w:ind w:left="1749" w:hanging="360"/>
      </w:pPr>
      <w:rPr>
        <w:rFonts w:ascii="Courier New" w:hAnsi="Courier New" w:cs="Courier New" w:hint="default"/>
      </w:rPr>
    </w:lvl>
    <w:lvl w:ilvl="2" w:tplc="3C0A0005" w:tentative="1">
      <w:start w:val="1"/>
      <w:numFmt w:val="bullet"/>
      <w:lvlText w:val=""/>
      <w:lvlJc w:val="left"/>
      <w:pPr>
        <w:ind w:left="2469" w:hanging="360"/>
      </w:pPr>
      <w:rPr>
        <w:rFonts w:ascii="Wingdings" w:hAnsi="Wingdings" w:hint="default"/>
      </w:rPr>
    </w:lvl>
    <w:lvl w:ilvl="3" w:tplc="3C0A0001" w:tentative="1">
      <w:start w:val="1"/>
      <w:numFmt w:val="bullet"/>
      <w:lvlText w:val=""/>
      <w:lvlJc w:val="left"/>
      <w:pPr>
        <w:ind w:left="3189" w:hanging="360"/>
      </w:pPr>
      <w:rPr>
        <w:rFonts w:ascii="Symbol" w:hAnsi="Symbol" w:hint="default"/>
      </w:rPr>
    </w:lvl>
    <w:lvl w:ilvl="4" w:tplc="3C0A0003" w:tentative="1">
      <w:start w:val="1"/>
      <w:numFmt w:val="bullet"/>
      <w:lvlText w:val="o"/>
      <w:lvlJc w:val="left"/>
      <w:pPr>
        <w:ind w:left="3909" w:hanging="360"/>
      </w:pPr>
      <w:rPr>
        <w:rFonts w:ascii="Courier New" w:hAnsi="Courier New" w:cs="Courier New" w:hint="default"/>
      </w:rPr>
    </w:lvl>
    <w:lvl w:ilvl="5" w:tplc="3C0A0005" w:tentative="1">
      <w:start w:val="1"/>
      <w:numFmt w:val="bullet"/>
      <w:lvlText w:val=""/>
      <w:lvlJc w:val="left"/>
      <w:pPr>
        <w:ind w:left="4629" w:hanging="360"/>
      </w:pPr>
      <w:rPr>
        <w:rFonts w:ascii="Wingdings" w:hAnsi="Wingdings" w:hint="default"/>
      </w:rPr>
    </w:lvl>
    <w:lvl w:ilvl="6" w:tplc="3C0A0001" w:tentative="1">
      <w:start w:val="1"/>
      <w:numFmt w:val="bullet"/>
      <w:lvlText w:val=""/>
      <w:lvlJc w:val="left"/>
      <w:pPr>
        <w:ind w:left="5349" w:hanging="360"/>
      </w:pPr>
      <w:rPr>
        <w:rFonts w:ascii="Symbol" w:hAnsi="Symbol" w:hint="default"/>
      </w:rPr>
    </w:lvl>
    <w:lvl w:ilvl="7" w:tplc="3C0A0003" w:tentative="1">
      <w:start w:val="1"/>
      <w:numFmt w:val="bullet"/>
      <w:lvlText w:val="o"/>
      <w:lvlJc w:val="left"/>
      <w:pPr>
        <w:ind w:left="6069" w:hanging="360"/>
      </w:pPr>
      <w:rPr>
        <w:rFonts w:ascii="Courier New" w:hAnsi="Courier New" w:cs="Courier New" w:hint="default"/>
      </w:rPr>
    </w:lvl>
    <w:lvl w:ilvl="8" w:tplc="3C0A0005" w:tentative="1">
      <w:start w:val="1"/>
      <w:numFmt w:val="bullet"/>
      <w:lvlText w:val=""/>
      <w:lvlJc w:val="left"/>
      <w:pPr>
        <w:ind w:left="6789" w:hanging="360"/>
      </w:pPr>
      <w:rPr>
        <w:rFonts w:ascii="Wingdings" w:hAnsi="Wingdings" w:hint="default"/>
      </w:rPr>
    </w:lvl>
  </w:abstractNum>
  <w:abstractNum w:abstractNumId="17" w15:restartNumberingAfterBreak="0">
    <w:nsid w:val="1FD27444"/>
    <w:multiLevelType w:val="hybridMultilevel"/>
    <w:tmpl w:val="BD3E83B8"/>
    <w:lvl w:ilvl="0" w:tplc="3C0A0001">
      <w:start w:val="1"/>
      <w:numFmt w:val="bullet"/>
      <w:lvlText w:val=""/>
      <w:lvlJc w:val="left"/>
      <w:pPr>
        <w:ind w:left="765" w:hanging="360"/>
      </w:pPr>
      <w:rPr>
        <w:rFonts w:ascii="Symbol" w:hAnsi="Symbol" w:hint="default"/>
      </w:rPr>
    </w:lvl>
    <w:lvl w:ilvl="1" w:tplc="3C0A0003" w:tentative="1">
      <w:start w:val="1"/>
      <w:numFmt w:val="bullet"/>
      <w:lvlText w:val="o"/>
      <w:lvlJc w:val="left"/>
      <w:pPr>
        <w:ind w:left="1485" w:hanging="360"/>
      </w:pPr>
      <w:rPr>
        <w:rFonts w:ascii="Courier New" w:hAnsi="Courier New" w:cs="Courier New" w:hint="default"/>
      </w:rPr>
    </w:lvl>
    <w:lvl w:ilvl="2" w:tplc="3C0A0005" w:tentative="1">
      <w:start w:val="1"/>
      <w:numFmt w:val="bullet"/>
      <w:lvlText w:val=""/>
      <w:lvlJc w:val="left"/>
      <w:pPr>
        <w:ind w:left="2205" w:hanging="360"/>
      </w:pPr>
      <w:rPr>
        <w:rFonts w:ascii="Wingdings" w:hAnsi="Wingdings" w:hint="default"/>
      </w:rPr>
    </w:lvl>
    <w:lvl w:ilvl="3" w:tplc="3C0A0001" w:tentative="1">
      <w:start w:val="1"/>
      <w:numFmt w:val="bullet"/>
      <w:lvlText w:val=""/>
      <w:lvlJc w:val="left"/>
      <w:pPr>
        <w:ind w:left="2925" w:hanging="360"/>
      </w:pPr>
      <w:rPr>
        <w:rFonts w:ascii="Symbol" w:hAnsi="Symbol" w:hint="default"/>
      </w:rPr>
    </w:lvl>
    <w:lvl w:ilvl="4" w:tplc="3C0A0003" w:tentative="1">
      <w:start w:val="1"/>
      <w:numFmt w:val="bullet"/>
      <w:lvlText w:val="o"/>
      <w:lvlJc w:val="left"/>
      <w:pPr>
        <w:ind w:left="3645" w:hanging="360"/>
      </w:pPr>
      <w:rPr>
        <w:rFonts w:ascii="Courier New" w:hAnsi="Courier New" w:cs="Courier New" w:hint="default"/>
      </w:rPr>
    </w:lvl>
    <w:lvl w:ilvl="5" w:tplc="3C0A0005" w:tentative="1">
      <w:start w:val="1"/>
      <w:numFmt w:val="bullet"/>
      <w:lvlText w:val=""/>
      <w:lvlJc w:val="left"/>
      <w:pPr>
        <w:ind w:left="4365" w:hanging="360"/>
      </w:pPr>
      <w:rPr>
        <w:rFonts w:ascii="Wingdings" w:hAnsi="Wingdings" w:hint="default"/>
      </w:rPr>
    </w:lvl>
    <w:lvl w:ilvl="6" w:tplc="3C0A0001" w:tentative="1">
      <w:start w:val="1"/>
      <w:numFmt w:val="bullet"/>
      <w:lvlText w:val=""/>
      <w:lvlJc w:val="left"/>
      <w:pPr>
        <w:ind w:left="5085" w:hanging="360"/>
      </w:pPr>
      <w:rPr>
        <w:rFonts w:ascii="Symbol" w:hAnsi="Symbol" w:hint="default"/>
      </w:rPr>
    </w:lvl>
    <w:lvl w:ilvl="7" w:tplc="3C0A0003" w:tentative="1">
      <w:start w:val="1"/>
      <w:numFmt w:val="bullet"/>
      <w:lvlText w:val="o"/>
      <w:lvlJc w:val="left"/>
      <w:pPr>
        <w:ind w:left="5805" w:hanging="360"/>
      </w:pPr>
      <w:rPr>
        <w:rFonts w:ascii="Courier New" w:hAnsi="Courier New" w:cs="Courier New" w:hint="default"/>
      </w:rPr>
    </w:lvl>
    <w:lvl w:ilvl="8" w:tplc="3C0A0005" w:tentative="1">
      <w:start w:val="1"/>
      <w:numFmt w:val="bullet"/>
      <w:lvlText w:val=""/>
      <w:lvlJc w:val="left"/>
      <w:pPr>
        <w:ind w:left="6525" w:hanging="360"/>
      </w:pPr>
      <w:rPr>
        <w:rFonts w:ascii="Wingdings" w:hAnsi="Wingdings" w:hint="default"/>
      </w:rPr>
    </w:lvl>
  </w:abstractNum>
  <w:abstractNum w:abstractNumId="18" w15:restartNumberingAfterBreak="0">
    <w:nsid w:val="24742FC3"/>
    <w:multiLevelType w:val="hybridMultilevel"/>
    <w:tmpl w:val="ED80CC44"/>
    <w:lvl w:ilvl="0" w:tplc="0C0A0001">
      <w:start w:val="1"/>
      <w:numFmt w:val="bullet"/>
      <w:lvlText w:val=""/>
      <w:lvlJc w:val="left"/>
      <w:pPr>
        <w:ind w:left="1151" w:hanging="360"/>
      </w:pPr>
      <w:rPr>
        <w:rFonts w:ascii="Symbol" w:hAnsi="Symbol" w:hint="default"/>
      </w:rPr>
    </w:lvl>
    <w:lvl w:ilvl="1" w:tplc="0C0A0003" w:tentative="1">
      <w:start w:val="1"/>
      <w:numFmt w:val="bullet"/>
      <w:lvlText w:val="o"/>
      <w:lvlJc w:val="left"/>
      <w:pPr>
        <w:ind w:left="1871" w:hanging="360"/>
      </w:pPr>
      <w:rPr>
        <w:rFonts w:ascii="Courier New" w:hAnsi="Courier New" w:cs="Courier New" w:hint="default"/>
      </w:rPr>
    </w:lvl>
    <w:lvl w:ilvl="2" w:tplc="0C0A0005" w:tentative="1">
      <w:start w:val="1"/>
      <w:numFmt w:val="bullet"/>
      <w:lvlText w:val=""/>
      <w:lvlJc w:val="left"/>
      <w:pPr>
        <w:ind w:left="2591" w:hanging="360"/>
      </w:pPr>
      <w:rPr>
        <w:rFonts w:ascii="Wingdings" w:hAnsi="Wingdings" w:hint="default"/>
      </w:rPr>
    </w:lvl>
    <w:lvl w:ilvl="3" w:tplc="0C0A0001" w:tentative="1">
      <w:start w:val="1"/>
      <w:numFmt w:val="bullet"/>
      <w:lvlText w:val=""/>
      <w:lvlJc w:val="left"/>
      <w:pPr>
        <w:ind w:left="3311" w:hanging="360"/>
      </w:pPr>
      <w:rPr>
        <w:rFonts w:ascii="Symbol" w:hAnsi="Symbol" w:hint="default"/>
      </w:rPr>
    </w:lvl>
    <w:lvl w:ilvl="4" w:tplc="0C0A0003" w:tentative="1">
      <w:start w:val="1"/>
      <w:numFmt w:val="bullet"/>
      <w:lvlText w:val="o"/>
      <w:lvlJc w:val="left"/>
      <w:pPr>
        <w:ind w:left="4031" w:hanging="360"/>
      </w:pPr>
      <w:rPr>
        <w:rFonts w:ascii="Courier New" w:hAnsi="Courier New" w:cs="Courier New" w:hint="default"/>
      </w:rPr>
    </w:lvl>
    <w:lvl w:ilvl="5" w:tplc="0C0A0005" w:tentative="1">
      <w:start w:val="1"/>
      <w:numFmt w:val="bullet"/>
      <w:lvlText w:val=""/>
      <w:lvlJc w:val="left"/>
      <w:pPr>
        <w:ind w:left="4751" w:hanging="360"/>
      </w:pPr>
      <w:rPr>
        <w:rFonts w:ascii="Wingdings" w:hAnsi="Wingdings" w:hint="default"/>
      </w:rPr>
    </w:lvl>
    <w:lvl w:ilvl="6" w:tplc="0C0A0001" w:tentative="1">
      <w:start w:val="1"/>
      <w:numFmt w:val="bullet"/>
      <w:lvlText w:val=""/>
      <w:lvlJc w:val="left"/>
      <w:pPr>
        <w:ind w:left="5471" w:hanging="360"/>
      </w:pPr>
      <w:rPr>
        <w:rFonts w:ascii="Symbol" w:hAnsi="Symbol" w:hint="default"/>
      </w:rPr>
    </w:lvl>
    <w:lvl w:ilvl="7" w:tplc="0C0A0003" w:tentative="1">
      <w:start w:val="1"/>
      <w:numFmt w:val="bullet"/>
      <w:lvlText w:val="o"/>
      <w:lvlJc w:val="left"/>
      <w:pPr>
        <w:ind w:left="6191" w:hanging="360"/>
      </w:pPr>
      <w:rPr>
        <w:rFonts w:ascii="Courier New" w:hAnsi="Courier New" w:cs="Courier New" w:hint="default"/>
      </w:rPr>
    </w:lvl>
    <w:lvl w:ilvl="8" w:tplc="0C0A0005" w:tentative="1">
      <w:start w:val="1"/>
      <w:numFmt w:val="bullet"/>
      <w:lvlText w:val=""/>
      <w:lvlJc w:val="left"/>
      <w:pPr>
        <w:ind w:left="6911" w:hanging="360"/>
      </w:pPr>
      <w:rPr>
        <w:rFonts w:ascii="Wingdings" w:hAnsi="Wingdings" w:hint="default"/>
      </w:rPr>
    </w:lvl>
  </w:abstractNum>
  <w:abstractNum w:abstractNumId="19" w15:restartNumberingAfterBreak="0">
    <w:nsid w:val="24FD4824"/>
    <w:multiLevelType w:val="multilevel"/>
    <w:tmpl w:val="BDEE0558"/>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5EB58CD"/>
    <w:multiLevelType w:val="hybridMultilevel"/>
    <w:tmpl w:val="4F34DA46"/>
    <w:lvl w:ilvl="0" w:tplc="64CAFF46">
      <w:start w:val="1"/>
      <w:numFmt w:val="lowerRoman"/>
      <w:lvlText w:val="%1."/>
      <w:lvlJc w:val="left"/>
      <w:pPr>
        <w:ind w:left="720" w:hanging="360"/>
      </w:pPr>
      <w:rPr>
        <w:rFonts w:asciiTheme="minorHAnsi" w:eastAsia="Times New Roman" w:hAnsiTheme="minorHAnsi" w:cstheme="minorHAnsi"/>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1" w15:restartNumberingAfterBreak="0">
    <w:nsid w:val="2F064566"/>
    <w:multiLevelType w:val="hybridMultilevel"/>
    <w:tmpl w:val="70BE8B68"/>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0">
    <w:nsid w:val="31356CF2"/>
    <w:multiLevelType w:val="hybridMultilevel"/>
    <w:tmpl w:val="B34601AC"/>
    <w:lvl w:ilvl="0" w:tplc="3C0A0017">
      <w:start w:val="1"/>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46C6AC0C">
      <w:start w:val="1"/>
      <w:numFmt w:val="lowerLetter"/>
      <w:lvlText w:val="%4)"/>
      <w:lvlJc w:val="left"/>
      <w:pPr>
        <w:ind w:left="360" w:hanging="360"/>
      </w:pPr>
      <w:rPr>
        <w:b w:val="0"/>
      </w:rPr>
    </w:lvl>
    <w:lvl w:ilvl="4" w:tplc="82068948">
      <w:start w:val="1"/>
      <w:numFmt w:val="upperLetter"/>
      <w:lvlText w:val="%5)"/>
      <w:lvlJc w:val="left"/>
      <w:pPr>
        <w:ind w:left="3600" w:hanging="360"/>
      </w:pPr>
      <w:rPr>
        <w:rFonts w:hint="default"/>
      </w:r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0">
    <w:nsid w:val="3188635D"/>
    <w:multiLevelType w:val="hybridMultilevel"/>
    <w:tmpl w:val="720000A8"/>
    <w:lvl w:ilvl="0" w:tplc="98429C3A">
      <w:start w:val="17"/>
      <w:numFmt w:val="decimal"/>
      <w:lvlText w:val="%1."/>
      <w:lvlJc w:val="left"/>
      <w:pPr>
        <w:ind w:left="786" w:hanging="360"/>
      </w:pPr>
      <w:rPr>
        <w:rFonts w:hint="default"/>
        <w:color w:val="auto"/>
        <w:sz w:val="22"/>
        <w:szCs w:val="22"/>
      </w:r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24" w15:restartNumberingAfterBreak="0">
    <w:nsid w:val="3FD04766"/>
    <w:multiLevelType w:val="hybridMultilevel"/>
    <w:tmpl w:val="4648CB50"/>
    <w:lvl w:ilvl="0" w:tplc="6B840776">
      <w:start w:val="1"/>
      <w:numFmt w:val="decimal"/>
      <w:pStyle w:val="Ttulo"/>
      <w:lvlText w:val="%1."/>
      <w:lvlJc w:val="left"/>
      <w:pPr>
        <w:ind w:left="36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0">
    <w:nsid w:val="47013B2A"/>
    <w:multiLevelType w:val="hybridMultilevel"/>
    <w:tmpl w:val="D4020E32"/>
    <w:lvl w:ilvl="0" w:tplc="0ECE5D34">
      <w:start w:val="1"/>
      <w:numFmt w:val="lowerLetter"/>
      <w:lvlText w:val="%1."/>
      <w:lvlJc w:val="left"/>
      <w:pPr>
        <w:ind w:left="144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A1C5934"/>
    <w:multiLevelType w:val="hybridMultilevel"/>
    <w:tmpl w:val="6A301B0C"/>
    <w:lvl w:ilvl="0" w:tplc="3C0A0017">
      <w:start w:val="1"/>
      <w:numFmt w:val="lowerLetter"/>
      <w:lvlText w:val="%1)"/>
      <w:lvlJc w:val="left"/>
      <w:pPr>
        <w:ind w:left="720" w:hanging="360"/>
      </w:pPr>
      <w:rPr>
        <w:rFonts w:hint="default"/>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15:restartNumberingAfterBreak="0">
    <w:nsid w:val="54D00496"/>
    <w:multiLevelType w:val="hybridMultilevel"/>
    <w:tmpl w:val="B6B48FE0"/>
    <w:lvl w:ilvl="0" w:tplc="3C0A0017">
      <w:start w:val="1"/>
      <w:numFmt w:val="lowerLetter"/>
      <w:lvlText w:val="%1)"/>
      <w:lvlJc w:val="left"/>
      <w:pPr>
        <w:ind w:left="720" w:hanging="360"/>
      </w:pPr>
      <w:rPr>
        <w:rFonts w:hint="default"/>
      </w:rPr>
    </w:lvl>
    <w:lvl w:ilvl="1" w:tplc="3C0A0019">
      <w:start w:val="1"/>
      <w:numFmt w:val="lowerLetter"/>
      <w:lvlText w:val="%2."/>
      <w:lvlJc w:val="left"/>
      <w:pPr>
        <w:ind w:left="1440" w:hanging="360"/>
      </w:pPr>
    </w:lvl>
    <w:lvl w:ilvl="2" w:tplc="0276AF2C">
      <w:start w:val="1"/>
      <w:numFmt w:val="lowerLetter"/>
      <w:lvlText w:val="%3."/>
      <w:lvlJc w:val="right"/>
      <w:pPr>
        <w:ind w:left="1314" w:hanging="180"/>
      </w:pPr>
      <w:rPr>
        <w:rFonts w:asciiTheme="minorHAnsi" w:eastAsia="Times New Roman" w:hAnsiTheme="minorHAnsi" w:cstheme="minorHAnsi"/>
      </w:rPr>
    </w:lvl>
    <w:lvl w:ilvl="3" w:tplc="0874B9D6">
      <w:start w:val="7"/>
      <w:numFmt w:val="decimal"/>
      <w:lvlText w:val="%4."/>
      <w:lvlJc w:val="left"/>
      <w:pPr>
        <w:ind w:left="2880" w:hanging="360"/>
      </w:pPr>
      <w:rPr>
        <w:rFonts w:hint="default"/>
      </w:r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8" w15:restartNumberingAfterBreak="0">
    <w:nsid w:val="57676345"/>
    <w:multiLevelType w:val="hybridMultilevel"/>
    <w:tmpl w:val="347CD1C6"/>
    <w:lvl w:ilvl="0" w:tplc="024EC7B6">
      <w:start w:val="2"/>
      <w:numFmt w:val="bullet"/>
      <w:lvlText w:val="-"/>
      <w:lvlJc w:val="left"/>
      <w:pPr>
        <w:ind w:left="720" w:hanging="360"/>
      </w:pPr>
      <w:rPr>
        <w:rFonts w:ascii="Calibri Light" w:eastAsia="Times New Roman" w:hAnsi="Calibri Light"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235651A"/>
    <w:multiLevelType w:val="multilevel"/>
    <w:tmpl w:val="BDEE0558"/>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8794181"/>
    <w:multiLevelType w:val="hybridMultilevel"/>
    <w:tmpl w:val="C61E0102"/>
    <w:lvl w:ilvl="0" w:tplc="1070EAFE">
      <w:start w:val="1"/>
      <w:numFmt w:val="decimal"/>
      <w:lvlText w:val="%1."/>
      <w:lvlJc w:val="left"/>
      <w:pPr>
        <w:ind w:left="720" w:hanging="360"/>
      </w:pPr>
      <w:rPr>
        <w:b/>
        <w:color w:val="auto"/>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1" w15:restartNumberingAfterBreak="0">
    <w:nsid w:val="68931A61"/>
    <w:multiLevelType w:val="hybridMultilevel"/>
    <w:tmpl w:val="785267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C5C532F"/>
    <w:multiLevelType w:val="hybridMultilevel"/>
    <w:tmpl w:val="D34CCC28"/>
    <w:lvl w:ilvl="0" w:tplc="3C0A0017">
      <w:start w:val="1"/>
      <w:numFmt w:val="lowerLetter"/>
      <w:lvlText w:val="%1)"/>
      <w:lvlJc w:val="left"/>
      <w:pPr>
        <w:ind w:left="502" w:hanging="360"/>
      </w:pPr>
      <w:rPr>
        <w:rFonts w:hint="default"/>
      </w:rPr>
    </w:lvl>
    <w:lvl w:ilvl="1" w:tplc="3C0A0019" w:tentative="1">
      <w:start w:val="1"/>
      <w:numFmt w:val="lowerLetter"/>
      <w:lvlText w:val="%2."/>
      <w:lvlJc w:val="left"/>
      <w:pPr>
        <w:ind w:left="1222" w:hanging="360"/>
      </w:pPr>
    </w:lvl>
    <w:lvl w:ilvl="2" w:tplc="3C0A001B" w:tentative="1">
      <w:start w:val="1"/>
      <w:numFmt w:val="lowerRoman"/>
      <w:lvlText w:val="%3."/>
      <w:lvlJc w:val="right"/>
      <w:pPr>
        <w:ind w:left="1942" w:hanging="180"/>
      </w:pPr>
    </w:lvl>
    <w:lvl w:ilvl="3" w:tplc="3C0A000F" w:tentative="1">
      <w:start w:val="1"/>
      <w:numFmt w:val="decimal"/>
      <w:lvlText w:val="%4."/>
      <w:lvlJc w:val="left"/>
      <w:pPr>
        <w:ind w:left="2662" w:hanging="360"/>
      </w:pPr>
    </w:lvl>
    <w:lvl w:ilvl="4" w:tplc="3C0A0019" w:tentative="1">
      <w:start w:val="1"/>
      <w:numFmt w:val="lowerLetter"/>
      <w:lvlText w:val="%5."/>
      <w:lvlJc w:val="left"/>
      <w:pPr>
        <w:ind w:left="3382" w:hanging="360"/>
      </w:pPr>
    </w:lvl>
    <w:lvl w:ilvl="5" w:tplc="3C0A001B" w:tentative="1">
      <w:start w:val="1"/>
      <w:numFmt w:val="lowerRoman"/>
      <w:lvlText w:val="%6."/>
      <w:lvlJc w:val="right"/>
      <w:pPr>
        <w:ind w:left="4102" w:hanging="180"/>
      </w:pPr>
    </w:lvl>
    <w:lvl w:ilvl="6" w:tplc="3C0A000F" w:tentative="1">
      <w:start w:val="1"/>
      <w:numFmt w:val="decimal"/>
      <w:lvlText w:val="%7."/>
      <w:lvlJc w:val="left"/>
      <w:pPr>
        <w:ind w:left="4822" w:hanging="360"/>
      </w:pPr>
    </w:lvl>
    <w:lvl w:ilvl="7" w:tplc="3C0A0019" w:tentative="1">
      <w:start w:val="1"/>
      <w:numFmt w:val="lowerLetter"/>
      <w:lvlText w:val="%8."/>
      <w:lvlJc w:val="left"/>
      <w:pPr>
        <w:ind w:left="5542" w:hanging="360"/>
      </w:pPr>
    </w:lvl>
    <w:lvl w:ilvl="8" w:tplc="3C0A001B" w:tentative="1">
      <w:start w:val="1"/>
      <w:numFmt w:val="lowerRoman"/>
      <w:lvlText w:val="%9."/>
      <w:lvlJc w:val="right"/>
      <w:pPr>
        <w:ind w:left="6262" w:hanging="180"/>
      </w:pPr>
    </w:lvl>
  </w:abstractNum>
  <w:abstractNum w:abstractNumId="33" w15:restartNumberingAfterBreak="0">
    <w:nsid w:val="6E6619ED"/>
    <w:multiLevelType w:val="hybridMultilevel"/>
    <w:tmpl w:val="78C83574"/>
    <w:lvl w:ilvl="0" w:tplc="C51A0544">
      <w:start w:val="1"/>
      <w:numFmt w:val="decimal"/>
      <w:lvlText w:val="%1."/>
      <w:lvlJc w:val="left"/>
      <w:pPr>
        <w:ind w:left="720" w:hanging="360"/>
      </w:pPr>
      <w:rPr>
        <w:b w:val="0"/>
        <w:sz w:val="22"/>
        <w:szCs w:val="22"/>
      </w:rPr>
    </w:lvl>
    <w:lvl w:ilvl="1" w:tplc="0ECE5D34">
      <w:start w:val="1"/>
      <w:numFmt w:val="lowerLetter"/>
      <w:lvlText w:val="%2."/>
      <w:lvlJc w:val="left"/>
      <w:pPr>
        <w:ind w:left="1440" w:hanging="360"/>
      </w:pPr>
      <w:rPr>
        <w:b w:val="0"/>
      </w:rPr>
    </w:lvl>
    <w:lvl w:ilvl="2" w:tplc="3C0A001B">
      <w:start w:val="1"/>
      <w:numFmt w:val="lowerRoman"/>
      <w:lvlText w:val="%3."/>
      <w:lvlJc w:val="right"/>
      <w:pPr>
        <w:ind w:left="2160" w:hanging="180"/>
      </w:pPr>
    </w:lvl>
    <w:lvl w:ilvl="3" w:tplc="4FC836DE">
      <w:start w:val="1"/>
      <w:numFmt w:val="lowerLetter"/>
      <w:lvlText w:val="%4)"/>
      <w:lvlJc w:val="left"/>
      <w:pPr>
        <w:ind w:left="2880" w:hanging="360"/>
      </w:pPr>
      <w:rPr>
        <w:rFonts w:hint="default"/>
      </w:r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4" w15:restartNumberingAfterBreak="0">
    <w:nsid w:val="710B71FD"/>
    <w:multiLevelType w:val="hybridMultilevel"/>
    <w:tmpl w:val="8EA022A2"/>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5" w15:restartNumberingAfterBreak="0">
    <w:nsid w:val="759D5627"/>
    <w:multiLevelType w:val="multilevel"/>
    <w:tmpl w:val="BDEE0558"/>
    <w:lvl w:ilvl="0">
      <w:start w:val="1"/>
      <w:numFmt w:val="decimal"/>
      <w:lvlText w:val="%1)"/>
      <w:lvlJc w:val="left"/>
      <w:pPr>
        <w:ind w:left="360" w:hanging="360"/>
      </w:pPr>
      <w:rPr>
        <w:b/>
        <w:color w:val="auto"/>
      </w:rPr>
    </w:lvl>
    <w:lvl w:ilvl="1">
      <w:start w:val="1"/>
      <w:numFmt w:val="decimal"/>
      <w:isLgl/>
      <w:lvlText w:val="%1.%2."/>
      <w:lvlJc w:val="left"/>
      <w:pPr>
        <w:ind w:left="720" w:hanging="360"/>
      </w:pPr>
      <w:rPr>
        <w:rFonts w:hint="default"/>
        <w:color w:val="auto"/>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35236E"/>
    <w:multiLevelType w:val="hybridMultilevel"/>
    <w:tmpl w:val="C8560358"/>
    <w:lvl w:ilvl="0" w:tplc="3C0A000F">
      <w:start w:val="24"/>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7"/>
  </w:num>
  <w:num w:numId="2">
    <w:abstractNumId w:val="6"/>
  </w:num>
  <w:num w:numId="3">
    <w:abstractNumId w:val="14"/>
  </w:num>
  <w:num w:numId="4">
    <w:abstractNumId w:val="33"/>
  </w:num>
  <w:num w:numId="5">
    <w:abstractNumId w:val="8"/>
  </w:num>
  <w:num w:numId="6">
    <w:abstractNumId w:val="23"/>
  </w:num>
  <w:num w:numId="7">
    <w:abstractNumId w:val="2"/>
  </w:num>
  <w:num w:numId="8">
    <w:abstractNumId w:val="36"/>
  </w:num>
  <w:num w:numId="9">
    <w:abstractNumId w:val="1"/>
  </w:num>
  <w:num w:numId="10">
    <w:abstractNumId w:val="3"/>
  </w:num>
  <w:num w:numId="11">
    <w:abstractNumId w:val="22"/>
  </w:num>
  <w:num w:numId="12">
    <w:abstractNumId w:val="26"/>
  </w:num>
  <w:num w:numId="13">
    <w:abstractNumId w:val="27"/>
  </w:num>
  <w:num w:numId="14">
    <w:abstractNumId w:val="34"/>
  </w:num>
  <w:num w:numId="15">
    <w:abstractNumId w:val="30"/>
  </w:num>
  <w:num w:numId="16">
    <w:abstractNumId w:val="21"/>
  </w:num>
  <w:num w:numId="17">
    <w:abstractNumId w:val="0"/>
  </w:num>
  <w:num w:numId="18">
    <w:abstractNumId w:val="12"/>
  </w:num>
  <w:num w:numId="19">
    <w:abstractNumId w:val="32"/>
  </w:num>
  <w:num w:numId="20">
    <w:abstractNumId w:val="4"/>
  </w:num>
  <w:num w:numId="21">
    <w:abstractNumId w:val="20"/>
  </w:num>
  <w:num w:numId="22">
    <w:abstractNumId w:val="17"/>
  </w:num>
  <w:num w:numId="23">
    <w:abstractNumId w:val="15"/>
  </w:num>
  <w:num w:numId="24">
    <w:abstractNumId w:val="24"/>
  </w:num>
  <w:num w:numId="25">
    <w:abstractNumId w:val="10"/>
  </w:num>
  <w:num w:numId="26">
    <w:abstractNumId w:val="18"/>
  </w:num>
  <w:num w:numId="27">
    <w:abstractNumId w:val="31"/>
  </w:num>
  <w:num w:numId="28">
    <w:abstractNumId w:val="25"/>
  </w:num>
  <w:num w:numId="29">
    <w:abstractNumId w:val="11"/>
  </w:num>
  <w:num w:numId="30">
    <w:abstractNumId w:val="13"/>
  </w:num>
  <w:num w:numId="31">
    <w:abstractNumId w:val="24"/>
  </w:num>
  <w:num w:numId="32">
    <w:abstractNumId w:val="24"/>
  </w:num>
  <w:num w:numId="33">
    <w:abstractNumId w:val="24"/>
  </w:num>
  <w:num w:numId="34">
    <w:abstractNumId w:val="5"/>
  </w:num>
  <w:num w:numId="35">
    <w:abstractNumId w:val="9"/>
  </w:num>
  <w:num w:numId="36">
    <w:abstractNumId w:val="28"/>
  </w:num>
  <w:num w:numId="37">
    <w:abstractNumId w:val="19"/>
  </w:num>
  <w:num w:numId="38">
    <w:abstractNumId w:val="29"/>
  </w:num>
  <w:num w:numId="39">
    <w:abstractNumId w:val="35"/>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Y"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PY"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PY"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94"/>
    <w:rsid w:val="00000048"/>
    <w:rsid w:val="0000206B"/>
    <w:rsid w:val="000040FA"/>
    <w:rsid w:val="00005C62"/>
    <w:rsid w:val="00005F0A"/>
    <w:rsid w:val="00013C77"/>
    <w:rsid w:val="00015BDE"/>
    <w:rsid w:val="00017C82"/>
    <w:rsid w:val="000253C0"/>
    <w:rsid w:val="00025611"/>
    <w:rsid w:val="0003081E"/>
    <w:rsid w:val="00030905"/>
    <w:rsid w:val="000309A1"/>
    <w:rsid w:val="00032E10"/>
    <w:rsid w:val="00034914"/>
    <w:rsid w:val="00037083"/>
    <w:rsid w:val="00042751"/>
    <w:rsid w:val="00042769"/>
    <w:rsid w:val="000431CB"/>
    <w:rsid w:val="00045230"/>
    <w:rsid w:val="00051E8D"/>
    <w:rsid w:val="00056A8B"/>
    <w:rsid w:val="00056CA2"/>
    <w:rsid w:val="00060500"/>
    <w:rsid w:val="0006260F"/>
    <w:rsid w:val="00062ACB"/>
    <w:rsid w:val="00064A84"/>
    <w:rsid w:val="0007257B"/>
    <w:rsid w:val="00080A2E"/>
    <w:rsid w:val="00080E91"/>
    <w:rsid w:val="00084250"/>
    <w:rsid w:val="000849D9"/>
    <w:rsid w:val="000876B8"/>
    <w:rsid w:val="00087BCE"/>
    <w:rsid w:val="00095D01"/>
    <w:rsid w:val="00095E70"/>
    <w:rsid w:val="00096497"/>
    <w:rsid w:val="000967F0"/>
    <w:rsid w:val="000A2326"/>
    <w:rsid w:val="000A25C5"/>
    <w:rsid w:val="000A417D"/>
    <w:rsid w:val="000B1500"/>
    <w:rsid w:val="000B3864"/>
    <w:rsid w:val="000B78AD"/>
    <w:rsid w:val="000C0CA8"/>
    <w:rsid w:val="000C4B94"/>
    <w:rsid w:val="000C5714"/>
    <w:rsid w:val="000D1206"/>
    <w:rsid w:val="000D4981"/>
    <w:rsid w:val="000D56AA"/>
    <w:rsid w:val="000E360E"/>
    <w:rsid w:val="000E4996"/>
    <w:rsid w:val="000E5E3F"/>
    <w:rsid w:val="000F09A8"/>
    <w:rsid w:val="000F1019"/>
    <w:rsid w:val="000F5676"/>
    <w:rsid w:val="000F6400"/>
    <w:rsid w:val="000F6842"/>
    <w:rsid w:val="000F7D55"/>
    <w:rsid w:val="0010241B"/>
    <w:rsid w:val="001072E8"/>
    <w:rsid w:val="00116C0C"/>
    <w:rsid w:val="00126E16"/>
    <w:rsid w:val="001321D2"/>
    <w:rsid w:val="00133986"/>
    <w:rsid w:val="00137030"/>
    <w:rsid w:val="00137876"/>
    <w:rsid w:val="00140763"/>
    <w:rsid w:val="0014373F"/>
    <w:rsid w:val="00147D91"/>
    <w:rsid w:val="001512DE"/>
    <w:rsid w:val="00152488"/>
    <w:rsid w:val="0015469E"/>
    <w:rsid w:val="001569EB"/>
    <w:rsid w:val="00160B54"/>
    <w:rsid w:val="0016326A"/>
    <w:rsid w:val="001634B6"/>
    <w:rsid w:val="001636D1"/>
    <w:rsid w:val="00171970"/>
    <w:rsid w:val="00176B79"/>
    <w:rsid w:val="00177F24"/>
    <w:rsid w:val="00180E86"/>
    <w:rsid w:val="0018203F"/>
    <w:rsid w:val="00183C01"/>
    <w:rsid w:val="0018680C"/>
    <w:rsid w:val="0018681A"/>
    <w:rsid w:val="001907CD"/>
    <w:rsid w:val="00192486"/>
    <w:rsid w:val="00192A49"/>
    <w:rsid w:val="00193B99"/>
    <w:rsid w:val="00194B66"/>
    <w:rsid w:val="0019711F"/>
    <w:rsid w:val="001A233D"/>
    <w:rsid w:val="001A4821"/>
    <w:rsid w:val="001B2564"/>
    <w:rsid w:val="001B2AAF"/>
    <w:rsid w:val="001B3BCC"/>
    <w:rsid w:val="001C5272"/>
    <w:rsid w:val="001C79D2"/>
    <w:rsid w:val="001D5509"/>
    <w:rsid w:val="001D73ED"/>
    <w:rsid w:val="001E031A"/>
    <w:rsid w:val="001E3595"/>
    <w:rsid w:val="001E54BF"/>
    <w:rsid w:val="001E6E7E"/>
    <w:rsid w:val="001E77A1"/>
    <w:rsid w:val="001F39EF"/>
    <w:rsid w:val="001F79DC"/>
    <w:rsid w:val="00200F3F"/>
    <w:rsid w:val="0020145F"/>
    <w:rsid w:val="00205830"/>
    <w:rsid w:val="00214038"/>
    <w:rsid w:val="0021623F"/>
    <w:rsid w:val="00220263"/>
    <w:rsid w:val="002204DD"/>
    <w:rsid w:val="0022735D"/>
    <w:rsid w:val="00230660"/>
    <w:rsid w:val="002313A3"/>
    <w:rsid w:val="002314A7"/>
    <w:rsid w:val="0023270A"/>
    <w:rsid w:val="00233CA7"/>
    <w:rsid w:val="002406C6"/>
    <w:rsid w:val="00243863"/>
    <w:rsid w:val="00243901"/>
    <w:rsid w:val="002439C6"/>
    <w:rsid w:val="00246630"/>
    <w:rsid w:val="00255605"/>
    <w:rsid w:val="002561CA"/>
    <w:rsid w:val="00262819"/>
    <w:rsid w:val="00265FEF"/>
    <w:rsid w:val="00266BDA"/>
    <w:rsid w:val="00266D1C"/>
    <w:rsid w:val="002676A6"/>
    <w:rsid w:val="002678F6"/>
    <w:rsid w:val="0027167B"/>
    <w:rsid w:val="002730F7"/>
    <w:rsid w:val="00273821"/>
    <w:rsid w:val="00273D0A"/>
    <w:rsid w:val="002756B0"/>
    <w:rsid w:val="00275D5D"/>
    <w:rsid w:val="0027667D"/>
    <w:rsid w:val="00280D78"/>
    <w:rsid w:val="0028670D"/>
    <w:rsid w:val="00291E6E"/>
    <w:rsid w:val="002975AF"/>
    <w:rsid w:val="002A0C9C"/>
    <w:rsid w:val="002A1213"/>
    <w:rsid w:val="002A2975"/>
    <w:rsid w:val="002A42DF"/>
    <w:rsid w:val="002B10FC"/>
    <w:rsid w:val="002B398A"/>
    <w:rsid w:val="002B74DB"/>
    <w:rsid w:val="002C1D0A"/>
    <w:rsid w:val="002C383B"/>
    <w:rsid w:val="002C43A1"/>
    <w:rsid w:val="002C4D8B"/>
    <w:rsid w:val="002C4DFE"/>
    <w:rsid w:val="002C5259"/>
    <w:rsid w:val="002C5357"/>
    <w:rsid w:val="002C5EFE"/>
    <w:rsid w:val="002D064E"/>
    <w:rsid w:val="002D5A5E"/>
    <w:rsid w:val="002D6375"/>
    <w:rsid w:val="002D7294"/>
    <w:rsid w:val="002D7D54"/>
    <w:rsid w:val="002E0441"/>
    <w:rsid w:val="002E0CCE"/>
    <w:rsid w:val="002E2FBE"/>
    <w:rsid w:val="002E4EF4"/>
    <w:rsid w:val="002E520C"/>
    <w:rsid w:val="002F37E7"/>
    <w:rsid w:val="002F46C5"/>
    <w:rsid w:val="00300547"/>
    <w:rsid w:val="0030565C"/>
    <w:rsid w:val="003165EF"/>
    <w:rsid w:val="00321EE3"/>
    <w:rsid w:val="00322190"/>
    <w:rsid w:val="003229C1"/>
    <w:rsid w:val="003231FB"/>
    <w:rsid w:val="0032338B"/>
    <w:rsid w:val="00323DEB"/>
    <w:rsid w:val="0032425C"/>
    <w:rsid w:val="0032517F"/>
    <w:rsid w:val="00325A79"/>
    <w:rsid w:val="0032720C"/>
    <w:rsid w:val="003328EF"/>
    <w:rsid w:val="00332C3F"/>
    <w:rsid w:val="00334049"/>
    <w:rsid w:val="003342F3"/>
    <w:rsid w:val="00334DC2"/>
    <w:rsid w:val="00342448"/>
    <w:rsid w:val="00351FCB"/>
    <w:rsid w:val="0035606A"/>
    <w:rsid w:val="0035670C"/>
    <w:rsid w:val="00370012"/>
    <w:rsid w:val="00370E24"/>
    <w:rsid w:val="0037252B"/>
    <w:rsid w:val="00373396"/>
    <w:rsid w:val="003733E9"/>
    <w:rsid w:val="003809F8"/>
    <w:rsid w:val="003825FE"/>
    <w:rsid w:val="00384E0F"/>
    <w:rsid w:val="003855F4"/>
    <w:rsid w:val="0038697D"/>
    <w:rsid w:val="003875CA"/>
    <w:rsid w:val="003906D8"/>
    <w:rsid w:val="00395A47"/>
    <w:rsid w:val="003A0E94"/>
    <w:rsid w:val="003A27A4"/>
    <w:rsid w:val="003A3E4B"/>
    <w:rsid w:val="003A5B1D"/>
    <w:rsid w:val="003A6D34"/>
    <w:rsid w:val="003B4900"/>
    <w:rsid w:val="003C0E4B"/>
    <w:rsid w:val="003C1F24"/>
    <w:rsid w:val="003C58C9"/>
    <w:rsid w:val="003C6E0D"/>
    <w:rsid w:val="003C77BF"/>
    <w:rsid w:val="003D5D64"/>
    <w:rsid w:val="003D6723"/>
    <w:rsid w:val="003D6F1E"/>
    <w:rsid w:val="003E0F66"/>
    <w:rsid w:val="003F35B3"/>
    <w:rsid w:val="00402DA7"/>
    <w:rsid w:val="00404CEB"/>
    <w:rsid w:val="004066F8"/>
    <w:rsid w:val="004074B5"/>
    <w:rsid w:val="004104FC"/>
    <w:rsid w:val="00411F32"/>
    <w:rsid w:val="00413EE8"/>
    <w:rsid w:val="00414E9E"/>
    <w:rsid w:val="004251E0"/>
    <w:rsid w:val="00425D2C"/>
    <w:rsid w:val="00430911"/>
    <w:rsid w:val="00432730"/>
    <w:rsid w:val="00433906"/>
    <w:rsid w:val="00435343"/>
    <w:rsid w:val="00435E8F"/>
    <w:rsid w:val="004364F3"/>
    <w:rsid w:val="004400C1"/>
    <w:rsid w:val="00443819"/>
    <w:rsid w:val="00450542"/>
    <w:rsid w:val="00451DCF"/>
    <w:rsid w:val="00456AD7"/>
    <w:rsid w:val="00463FFC"/>
    <w:rsid w:val="004646D8"/>
    <w:rsid w:val="004659D6"/>
    <w:rsid w:val="00470E5B"/>
    <w:rsid w:val="004753CA"/>
    <w:rsid w:val="0047543F"/>
    <w:rsid w:val="004869BD"/>
    <w:rsid w:val="0049065B"/>
    <w:rsid w:val="0049184E"/>
    <w:rsid w:val="004B09F8"/>
    <w:rsid w:val="004B6197"/>
    <w:rsid w:val="004B6A6D"/>
    <w:rsid w:val="004D0F81"/>
    <w:rsid w:val="004D4E0B"/>
    <w:rsid w:val="004D654B"/>
    <w:rsid w:val="004F38D1"/>
    <w:rsid w:val="004F4B58"/>
    <w:rsid w:val="004F7D1A"/>
    <w:rsid w:val="00503DB2"/>
    <w:rsid w:val="00505A89"/>
    <w:rsid w:val="00506D40"/>
    <w:rsid w:val="0050730C"/>
    <w:rsid w:val="00513016"/>
    <w:rsid w:val="00515A25"/>
    <w:rsid w:val="00516BE5"/>
    <w:rsid w:val="00520F13"/>
    <w:rsid w:val="00521E48"/>
    <w:rsid w:val="0052316C"/>
    <w:rsid w:val="00523FE8"/>
    <w:rsid w:val="005245C7"/>
    <w:rsid w:val="0052567F"/>
    <w:rsid w:val="00526E74"/>
    <w:rsid w:val="005317B8"/>
    <w:rsid w:val="00534436"/>
    <w:rsid w:val="00537F2E"/>
    <w:rsid w:val="00545961"/>
    <w:rsid w:val="00545981"/>
    <w:rsid w:val="005473B8"/>
    <w:rsid w:val="00553507"/>
    <w:rsid w:val="0055531C"/>
    <w:rsid w:val="005578F0"/>
    <w:rsid w:val="005676B7"/>
    <w:rsid w:val="00571990"/>
    <w:rsid w:val="00572A58"/>
    <w:rsid w:val="00574153"/>
    <w:rsid w:val="00581335"/>
    <w:rsid w:val="00582AAA"/>
    <w:rsid w:val="005833F4"/>
    <w:rsid w:val="005841C8"/>
    <w:rsid w:val="0059322D"/>
    <w:rsid w:val="005934EF"/>
    <w:rsid w:val="00593618"/>
    <w:rsid w:val="00596AA6"/>
    <w:rsid w:val="00597F99"/>
    <w:rsid w:val="005A0B5A"/>
    <w:rsid w:val="005A4BBF"/>
    <w:rsid w:val="005A5721"/>
    <w:rsid w:val="005A5DE2"/>
    <w:rsid w:val="005A5FCC"/>
    <w:rsid w:val="005A7B31"/>
    <w:rsid w:val="005B2012"/>
    <w:rsid w:val="005B530D"/>
    <w:rsid w:val="005B6046"/>
    <w:rsid w:val="005C38AF"/>
    <w:rsid w:val="005C7D92"/>
    <w:rsid w:val="005D0B3C"/>
    <w:rsid w:val="005D1EAD"/>
    <w:rsid w:val="005D33BC"/>
    <w:rsid w:val="005D4D5E"/>
    <w:rsid w:val="005D71E5"/>
    <w:rsid w:val="005E4992"/>
    <w:rsid w:val="005E57FE"/>
    <w:rsid w:val="005E79D5"/>
    <w:rsid w:val="005E7B80"/>
    <w:rsid w:val="005F0F7D"/>
    <w:rsid w:val="005F2DE0"/>
    <w:rsid w:val="005F343F"/>
    <w:rsid w:val="005F4F67"/>
    <w:rsid w:val="0060294B"/>
    <w:rsid w:val="006041CC"/>
    <w:rsid w:val="00605D29"/>
    <w:rsid w:val="00607D8E"/>
    <w:rsid w:val="00612313"/>
    <w:rsid w:val="00620D0B"/>
    <w:rsid w:val="00623B1F"/>
    <w:rsid w:val="00626F76"/>
    <w:rsid w:val="006276BF"/>
    <w:rsid w:val="006279ED"/>
    <w:rsid w:val="00627DAE"/>
    <w:rsid w:val="00634D71"/>
    <w:rsid w:val="006354E9"/>
    <w:rsid w:val="006356B4"/>
    <w:rsid w:val="00636C3A"/>
    <w:rsid w:val="0064432A"/>
    <w:rsid w:val="006465A9"/>
    <w:rsid w:val="00653A09"/>
    <w:rsid w:val="00660913"/>
    <w:rsid w:val="00660ABB"/>
    <w:rsid w:val="006615FA"/>
    <w:rsid w:val="00662BC7"/>
    <w:rsid w:val="00663674"/>
    <w:rsid w:val="006661A5"/>
    <w:rsid w:val="00666617"/>
    <w:rsid w:val="006671B9"/>
    <w:rsid w:val="00667593"/>
    <w:rsid w:val="00671197"/>
    <w:rsid w:val="00682FF5"/>
    <w:rsid w:val="00683578"/>
    <w:rsid w:val="00687675"/>
    <w:rsid w:val="00690DBC"/>
    <w:rsid w:val="00692E50"/>
    <w:rsid w:val="0069543A"/>
    <w:rsid w:val="00695675"/>
    <w:rsid w:val="00697F7F"/>
    <w:rsid w:val="006A07DC"/>
    <w:rsid w:val="006A2F4B"/>
    <w:rsid w:val="006A3460"/>
    <w:rsid w:val="006A4140"/>
    <w:rsid w:val="006A638C"/>
    <w:rsid w:val="006A7C40"/>
    <w:rsid w:val="006C0983"/>
    <w:rsid w:val="006C3F1C"/>
    <w:rsid w:val="006C5B21"/>
    <w:rsid w:val="006C62AE"/>
    <w:rsid w:val="006D0901"/>
    <w:rsid w:val="006D3401"/>
    <w:rsid w:val="006D36CC"/>
    <w:rsid w:val="006D72BD"/>
    <w:rsid w:val="006E6DB2"/>
    <w:rsid w:val="006F48C2"/>
    <w:rsid w:val="006F5668"/>
    <w:rsid w:val="006F6402"/>
    <w:rsid w:val="00705D97"/>
    <w:rsid w:val="00713565"/>
    <w:rsid w:val="007262DE"/>
    <w:rsid w:val="00726599"/>
    <w:rsid w:val="00731CEA"/>
    <w:rsid w:val="007345C7"/>
    <w:rsid w:val="007402D1"/>
    <w:rsid w:val="00741415"/>
    <w:rsid w:val="00751E51"/>
    <w:rsid w:val="0075273B"/>
    <w:rsid w:val="00753238"/>
    <w:rsid w:val="00753B22"/>
    <w:rsid w:val="00760781"/>
    <w:rsid w:val="00760DE8"/>
    <w:rsid w:val="007637BF"/>
    <w:rsid w:val="00765262"/>
    <w:rsid w:val="00770DE1"/>
    <w:rsid w:val="007737E6"/>
    <w:rsid w:val="00775180"/>
    <w:rsid w:val="00781714"/>
    <w:rsid w:val="00784FFA"/>
    <w:rsid w:val="00786D44"/>
    <w:rsid w:val="007914DF"/>
    <w:rsid w:val="00791CCC"/>
    <w:rsid w:val="007933B7"/>
    <w:rsid w:val="00793C06"/>
    <w:rsid w:val="007943B8"/>
    <w:rsid w:val="00794408"/>
    <w:rsid w:val="00795896"/>
    <w:rsid w:val="007A6490"/>
    <w:rsid w:val="007A6F76"/>
    <w:rsid w:val="007A7E8F"/>
    <w:rsid w:val="007A7FA2"/>
    <w:rsid w:val="007B3753"/>
    <w:rsid w:val="007B7AB4"/>
    <w:rsid w:val="007C336E"/>
    <w:rsid w:val="007D0523"/>
    <w:rsid w:val="007D0CAB"/>
    <w:rsid w:val="007D1F46"/>
    <w:rsid w:val="007D270A"/>
    <w:rsid w:val="007D2D61"/>
    <w:rsid w:val="007D4FF4"/>
    <w:rsid w:val="007D50B5"/>
    <w:rsid w:val="007E7663"/>
    <w:rsid w:val="007F0284"/>
    <w:rsid w:val="007F0A7D"/>
    <w:rsid w:val="007F1387"/>
    <w:rsid w:val="008005E2"/>
    <w:rsid w:val="00800945"/>
    <w:rsid w:val="008015EE"/>
    <w:rsid w:val="00804A43"/>
    <w:rsid w:val="008054D4"/>
    <w:rsid w:val="00805683"/>
    <w:rsid w:val="00811928"/>
    <w:rsid w:val="00813368"/>
    <w:rsid w:val="00814A76"/>
    <w:rsid w:val="00815445"/>
    <w:rsid w:val="008176C7"/>
    <w:rsid w:val="00817B05"/>
    <w:rsid w:val="008200A9"/>
    <w:rsid w:val="00821C52"/>
    <w:rsid w:val="00830BFA"/>
    <w:rsid w:val="0083132B"/>
    <w:rsid w:val="00837DAB"/>
    <w:rsid w:val="00857932"/>
    <w:rsid w:val="00860A35"/>
    <w:rsid w:val="008624A5"/>
    <w:rsid w:val="008644BA"/>
    <w:rsid w:val="0086484A"/>
    <w:rsid w:val="00864C90"/>
    <w:rsid w:val="00864DED"/>
    <w:rsid w:val="008667D6"/>
    <w:rsid w:val="008707F0"/>
    <w:rsid w:val="0087208E"/>
    <w:rsid w:val="008722D5"/>
    <w:rsid w:val="00877DCD"/>
    <w:rsid w:val="008806D0"/>
    <w:rsid w:val="00880B1B"/>
    <w:rsid w:val="00880EA9"/>
    <w:rsid w:val="00883882"/>
    <w:rsid w:val="008851A7"/>
    <w:rsid w:val="00886E79"/>
    <w:rsid w:val="00891419"/>
    <w:rsid w:val="00891A98"/>
    <w:rsid w:val="00892413"/>
    <w:rsid w:val="00892CB2"/>
    <w:rsid w:val="00894148"/>
    <w:rsid w:val="008A7078"/>
    <w:rsid w:val="008B4CAA"/>
    <w:rsid w:val="008B65F5"/>
    <w:rsid w:val="008C1942"/>
    <w:rsid w:val="008C3F9A"/>
    <w:rsid w:val="008C4EB3"/>
    <w:rsid w:val="008C6C20"/>
    <w:rsid w:val="008D09EB"/>
    <w:rsid w:val="008D0AD0"/>
    <w:rsid w:val="008D0B9A"/>
    <w:rsid w:val="008D243B"/>
    <w:rsid w:val="008D2CFD"/>
    <w:rsid w:val="008D556C"/>
    <w:rsid w:val="008E2070"/>
    <w:rsid w:val="008F1196"/>
    <w:rsid w:val="008F1535"/>
    <w:rsid w:val="008F2F9A"/>
    <w:rsid w:val="008F403E"/>
    <w:rsid w:val="008F5EF4"/>
    <w:rsid w:val="009023D4"/>
    <w:rsid w:val="009057B6"/>
    <w:rsid w:val="00906E14"/>
    <w:rsid w:val="0090754B"/>
    <w:rsid w:val="00911C88"/>
    <w:rsid w:val="00911CE8"/>
    <w:rsid w:val="009160CB"/>
    <w:rsid w:val="00920280"/>
    <w:rsid w:val="00921880"/>
    <w:rsid w:val="00925002"/>
    <w:rsid w:val="0093021A"/>
    <w:rsid w:val="009340FA"/>
    <w:rsid w:val="009510E3"/>
    <w:rsid w:val="009548B7"/>
    <w:rsid w:val="009557E1"/>
    <w:rsid w:val="009573AB"/>
    <w:rsid w:val="00960208"/>
    <w:rsid w:val="00966C25"/>
    <w:rsid w:val="00967259"/>
    <w:rsid w:val="00970800"/>
    <w:rsid w:val="00970C9A"/>
    <w:rsid w:val="009731F3"/>
    <w:rsid w:val="0097733B"/>
    <w:rsid w:val="00984577"/>
    <w:rsid w:val="00985333"/>
    <w:rsid w:val="009915ED"/>
    <w:rsid w:val="009922DB"/>
    <w:rsid w:val="00992E50"/>
    <w:rsid w:val="0099681F"/>
    <w:rsid w:val="009A354D"/>
    <w:rsid w:val="009A6D61"/>
    <w:rsid w:val="009B01A5"/>
    <w:rsid w:val="009B0381"/>
    <w:rsid w:val="009C0259"/>
    <w:rsid w:val="009C15B2"/>
    <w:rsid w:val="009C47A8"/>
    <w:rsid w:val="009D64EF"/>
    <w:rsid w:val="009E5E42"/>
    <w:rsid w:val="009E7F86"/>
    <w:rsid w:val="009F365D"/>
    <w:rsid w:val="00A02DCC"/>
    <w:rsid w:val="00A0378A"/>
    <w:rsid w:val="00A052A5"/>
    <w:rsid w:val="00A06FE9"/>
    <w:rsid w:val="00A0702C"/>
    <w:rsid w:val="00A22017"/>
    <w:rsid w:val="00A27DA9"/>
    <w:rsid w:val="00A32A99"/>
    <w:rsid w:val="00A32CB9"/>
    <w:rsid w:val="00A34800"/>
    <w:rsid w:val="00A34C45"/>
    <w:rsid w:val="00A351CC"/>
    <w:rsid w:val="00A4167C"/>
    <w:rsid w:val="00A4255D"/>
    <w:rsid w:val="00A43C1B"/>
    <w:rsid w:val="00A44D2A"/>
    <w:rsid w:val="00A50EA0"/>
    <w:rsid w:val="00A52D92"/>
    <w:rsid w:val="00A532F3"/>
    <w:rsid w:val="00A55736"/>
    <w:rsid w:val="00A55A33"/>
    <w:rsid w:val="00A5799F"/>
    <w:rsid w:val="00A60854"/>
    <w:rsid w:val="00A60A15"/>
    <w:rsid w:val="00A615F0"/>
    <w:rsid w:val="00A632FC"/>
    <w:rsid w:val="00A64F62"/>
    <w:rsid w:val="00A66FFA"/>
    <w:rsid w:val="00A713F3"/>
    <w:rsid w:val="00A71C36"/>
    <w:rsid w:val="00A77559"/>
    <w:rsid w:val="00A81239"/>
    <w:rsid w:val="00A84C7A"/>
    <w:rsid w:val="00A90927"/>
    <w:rsid w:val="00A914E1"/>
    <w:rsid w:val="00A93D69"/>
    <w:rsid w:val="00A95E95"/>
    <w:rsid w:val="00A9622C"/>
    <w:rsid w:val="00A97409"/>
    <w:rsid w:val="00AA0089"/>
    <w:rsid w:val="00AA3742"/>
    <w:rsid w:val="00AA502C"/>
    <w:rsid w:val="00AB0C23"/>
    <w:rsid w:val="00AB10FB"/>
    <w:rsid w:val="00AB3226"/>
    <w:rsid w:val="00AB38B5"/>
    <w:rsid w:val="00AB53D8"/>
    <w:rsid w:val="00AC11D9"/>
    <w:rsid w:val="00AC4014"/>
    <w:rsid w:val="00AC469F"/>
    <w:rsid w:val="00AC5BC4"/>
    <w:rsid w:val="00AC77DA"/>
    <w:rsid w:val="00AD14EB"/>
    <w:rsid w:val="00AD456D"/>
    <w:rsid w:val="00AD7C32"/>
    <w:rsid w:val="00AD7D39"/>
    <w:rsid w:val="00AE183B"/>
    <w:rsid w:val="00AE2008"/>
    <w:rsid w:val="00AE522C"/>
    <w:rsid w:val="00AF116F"/>
    <w:rsid w:val="00AF4BFD"/>
    <w:rsid w:val="00B01C33"/>
    <w:rsid w:val="00B13B09"/>
    <w:rsid w:val="00B14E14"/>
    <w:rsid w:val="00B14F52"/>
    <w:rsid w:val="00B20E68"/>
    <w:rsid w:val="00B225F7"/>
    <w:rsid w:val="00B2292B"/>
    <w:rsid w:val="00B23EC1"/>
    <w:rsid w:val="00B337EC"/>
    <w:rsid w:val="00B338C7"/>
    <w:rsid w:val="00B40D03"/>
    <w:rsid w:val="00B442DD"/>
    <w:rsid w:val="00B4492E"/>
    <w:rsid w:val="00B50D0D"/>
    <w:rsid w:val="00B534C2"/>
    <w:rsid w:val="00B552C8"/>
    <w:rsid w:val="00B60C60"/>
    <w:rsid w:val="00B6186B"/>
    <w:rsid w:val="00B675BF"/>
    <w:rsid w:val="00B7020E"/>
    <w:rsid w:val="00B72FB7"/>
    <w:rsid w:val="00B73D99"/>
    <w:rsid w:val="00B74305"/>
    <w:rsid w:val="00B77E6E"/>
    <w:rsid w:val="00B84E0F"/>
    <w:rsid w:val="00B92AD7"/>
    <w:rsid w:val="00B94407"/>
    <w:rsid w:val="00B947D4"/>
    <w:rsid w:val="00B97681"/>
    <w:rsid w:val="00BA060E"/>
    <w:rsid w:val="00BA238D"/>
    <w:rsid w:val="00BA4A9A"/>
    <w:rsid w:val="00BA5A85"/>
    <w:rsid w:val="00BB0205"/>
    <w:rsid w:val="00BB39E8"/>
    <w:rsid w:val="00BB580D"/>
    <w:rsid w:val="00BC11D6"/>
    <w:rsid w:val="00BC63F4"/>
    <w:rsid w:val="00BD1139"/>
    <w:rsid w:val="00BD1273"/>
    <w:rsid w:val="00BD22FD"/>
    <w:rsid w:val="00BD23C3"/>
    <w:rsid w:val="00BD771E"/>
    <w:rsid w:val="00BD7B1C"/>
    <w:rsid w:val="00BE3710"/>
    <w:rsid w:val="00BF0FB5"/>
    <w:rsid w:val="00BF1338"/>
    <w:rsid w:val="00BF3DDF"/>
    <w:rsid w:val="00BF7491"/>
    <w:rsid w:val="00C00908"/>
    <w:rsid w:val="00C03A5D"/>
    <w:rsid w:val="00C05435"/>
    <w:rsid w:val="00C16114"/>
    <w:rsid w:val="00C2009C"/>
    <w:rsid w:val="00C25477"/>
    <w:rsid w:val="00C25FF3"/>
    <w:rsid w:val="00C3196F"/>
    <w:rsid w:val="00C368B7"/>
    <w:rsid w:val="00C443ED"/>
    <w:rsid w:val="00C4672F"/>
    <w:rsid w:val="00C517F2"/>
    <w:rsid w:val="00C531D4"/>
    <w:rsid w:val="00C536D9"/>
    <w:rsid w:val="00C55A79"/>
    <w:rsid w:val="00C604CB"/>
    <w:rsid w:val="00C64380"/>
    <w:rsid w:val="00C66230"/>
    <w:rsid w:val="00C6640E"/>
    <w:rsid w:val="00C6792A"/>
    <w:rsid w:val="00C72C10"/>
    <w:rsid w:val="00C7440A"/>
    <w:rsid w:val="00C74A95"/>
    <w:rsid w:val="00C75747"/>
    <w:rsid w:val="00C77098"/>
    <w:rsid w:val="00C812B1"/>
    <w:rsid w:val="00C87E74"/>
    <w:rsid w:val="00C919B5"/>
    <w:rsid w:val="00C92756"/>
    <w:rsid w:val="00C97091"/>
    <w:rsid w:val="00C978FF"/>
    <w:rsid w:val="00CA7BFD"/>
    <w:rsid w:val="00CB0F53"/>
    <w:rsid w:val="00CB2B3C"/>
    <w:rsid w:val="00CB310A"/>
    <w:rsid w:val="00CB4F6A"/>
    <w:rsid w:val="00CC0145"/>
    <w:rsid w:val="00CC0DC4"/>
    <w:rsid w:val="00CC3D57"/>
    <w:rsid w:val="00CD0328"/>
    <w:rsid w:val="00CD1F2C"/>
    <w:rsid w:val="00CD32A4"/>
    <w:rsid w:val="00CD58D3"/>
    <w:rsid w:val="00CD6863"/>
    <w:rsid w:val="00CE0E33"/>
    <w:rsid w:val="00CE0ECF"/>
    <w:rsid w:val="00CE169F"/>
    <w:rsid w:val="00CE241A"/>
    <w:rsid w:val="00CE4447"/>
    <w:rsid w:val="00CE4B9C"/>
    <w:rsid w:val="00CE65DE"/>
    <w:rsid w:val="00CE6B97"/>
    <w:rsid w:val="00CE7988"/>
    <w:rsid w:val="00CF5942"/>
    <w:rsid w:val="00CF749D"/>
    <w:rsid w:val="00CF7DEB"/>
    <w:rsid w:val="00D058B2"/>
    <w:rsid w:val="00D07A4B"/>
    <w:rsid w:val="00D149FC"/>
    <w:rsid w:val="00D14CD3"/>
    <w:rsid w:val="00D237D3"/>
    <w:rsid w:val="00D2407D"/>
    <w:rsid w:val="00D2594C"/>
    <w:rsid w:val="00D32BD7"/>
    <w:rsid w:val="00D33CB7"/>
    <w:rsid w:val="00D34E8E"/>
    <w:rsid w:val="00D361A6"/>
    <w:rsid w:val="00D41578"/>
    <w:rsid w:val="00D438CC"/>
    <w:rsid w:val="00D4411F"/>
    <w:rsid w:val="00D45F43"/>
    <w:rsid w:val="00D52EAF"/>
    <w:rsid w:val="00D53AE6"/>
    <w:rsid w:val="00D55828"/>
    <w:rsid w:val="00D55A11"/>
    <w:rsid w:val="00D57E0D"/>
    <w:rsid w:val="00D677B4"/>
    <w:rsid w:val="00D70DB8"/>
    <w:rsid w:val="00D738E0"/>
    <w:rsid w:val="00D756F3"/>
    <w:rsid w:val="00D7597A"/>
    <w:rsid w:val="00D778CE"/>
    <w:rsid w:val="00D81568"/>
    <w:rsid w:val="00D82300"/>
    <w:rsid w:val="00D8310B"/>
    <w:rsid w:val="00D85DEB"/>
    <w:rsid w:val="00D91BA2"/>
    <w:rsid w:val="00D925AA"/>
    <w:rsid w:val="00D9396D"/>
    <w:rsid w:val="00D9577F"/>
    <w:rsid w:val="00D9587F"/>
    <w:rsid w:val="00D960E7"/>
    <w:rsid w:val="00D975BC"/>
    <w:rsid w:val="00D97A22"/>
    <w:rsid w:val="00DA0B1F"/>
    <w:rsid w:val="00DA25BC"/>
    <w:rsid w:val="00DA7266"/>
    <w:rsid w:val="00DB37E6"/>
    <w:rsid w:val="00DB615E"/>
    <w:rsid w:val="00DB6357"/>
    <w:rsid w:val="00DC2ECB"/>
    <w:rsid w:val="00DD0919"/>
    <w:rsid w:val="00DD58FD"/>
    <w:rsid w:val="00DD59A7"/>
    <w:rsid w:val="00DE27EC"/>
    <w:rsid w:val="00DE329D"/>
    <w:rsid w:val="00DE479F"/>
    <w:rsid w:val="00DE7AC2"/>
    <w:rsid w:val="00DF1A3E"/>
    <w:rsid w:val="00DF32FE"/>
    <w:rsid w:val="00DF3F24"/>
    <w:rsid w:val="00E0091B"/>
    <w:rsid w:val="00E02E8C"/>
    <w:rsid w:val="00E02FD3"/>
    <w:rsid w:val="00E039F5"/>
    <w:rsid w:val="00E0475E"/>
    <w:rsid w:val="00E06334"/>
    <w:rsid w:val="00E074AA"/>
    <w:rsid w:val="00E12829"/>
    <w:rsid w:val="00E20CE8"/>
    <w:rsid w:val="00E21961"/>
    <w:rsid w:val="00E21F1F"/>
    <w:rsid w:val="00E2228D"/>
    <w:rsid w:val="00E234F9"/>
    <w:rsid w:val="00E2538D"/>
    <w:rsid w:val="00E320DC"/>
    <w:rsid w:val="00E33393"/>
    <w:rsid w:val="00E343DF"/>
    <w:rsid w:val="00E34A0E"/>
    <w:rsid w:val="00E35172"/>
    <w:rsid w:val="00E35D54"/>
    <w:rsid w:val="00E44141"/>
    <w:rsid w:val="00E45553"/>
    <w:rsid w:val="00E45B37"/>
    <w:rsid w:val="00E53069"/>
    <w:rsid w:val="00E5710C"/>
    <w:rsid w:val="00E61916"/>
    <w:rsid w:val="00E6314D"/>
    <w:rsid w:val="00E642D8"/>
    <w:rsid w:val="00E671D4"/>
    <w:rsid w:val="00E6733B"/>
    <w:rsid w:val="00E70628"/>
    <w:rsid w:val="00E70D5D"/>
    <w:rsid w:val="00E71CE3"/>
    <w:rsid w:val="00E71EE8"/>
    <w:rsid w:val="00E753C3"/>
    <w:rsid w:val="00E759FA"/>
    <w:rsid w:val="00E760FE"/>
    <w:rsid w:val="00E84658"/>
    <w:rsid w:val="00E850FE"/>
    <w:rsid w:val="00E85CE6"/>
    <w:rsid w:val="00E86E0A"/>
    <w:rsid w:val="00E86FC8"/>
    <w:rsid w:val="00E871C4"/>
    <w:rsid w:val="00E9031D"/>
    <w:rsid w:val="00E975B7"/>
    <w:rsid w:val="00EA1D6B"/>
    <w:rsid w:val="00EA240D"/>
    <w:rsid w:val="00EA66C6"/>
    <w:rsid w:val="00EA7C9B"/>
    <w:rsid w:val="00EB1BAD"/>
    <w:rsid w:val="00EB296E"/>
    <w:rsid w:val="00EB41BA"/>
    <w:rsid w:val="00EB6D94"/>
    <w:rsid w:val="00EC2237"/>
    <w:rsid w:val="00EC5751"/>
    <w:rsid w:val="00EC5FF5"/>
    <w:rsid w:val="00EE0C15"/>
    <w:rsid w:val="00EE113B"/>
    <w:rsid w:val="00EE5C7D"/>
    <w:rsid w:val="00EE6A2C"/>
    <w:rsid w:val="00EE6EF0"/>
    <w:rsid w:val="00EE7C1A"/>
    <w:rsid w:val="00EE7DC3"/>
    <w:rsid w:val="00EF2DB3"/>
    <w:rsid w:val="00F02D34"/>
    <w:rsid w:val="00F143E0"/>
    <w:rsid w:val="00F23C56"/>
    <w:rsid w:val="00F3037E"/>
    <w:rsid w:val="00F331C0"/>
    <w:rsid w:val="00F3419B"/>
    <w:rsid w:val="00F34A82"/>
    <w:rsid w:val="00F3563D"/>
    <w:rsid w:val="00F37053"/>
    <w:rsid w:val="00F41DA5"/>
    <w:rsid w:val="00F44D19"/>
    <w:rsid w:val="00F50672"/>
    <w:rsid w:val="00F534D3"/>
    <w:rsid w:val="00F5383C"/>
    <w:rsid w:val="00F60328"/>
    <w:rsid w:val="00F61D09"/>
    <w:rsid w:val="00F62EF9"/>
    <w:rsid w:val="00F679F8"/>
    <w:rsid w:val="00F67CA2"/>
    <w:rsid w:val="00F75061"/>
    <w:rsid w:val="00F77980"/>
    <w:rsid w:val="00F843FB"/>
    <w:rsid w:val="00FA35F2"/>
    <w:rsid w:val="00FB1F4C"/>
    <w:rsid w:val="00FB3C98"/>
    <w:rsid w:val="00FB4066"/>
    <w:rsid w:val="00FB7131"/>
    <w:rsid w:val="00FC186A"/>
    <w:rsid w:val="00FC1FC3"/>
    <w:rsid w:val="00FC324A"/>
    <w:rsid w:val="00FC3795"/>
    <w:rsid w:val="00FC3EDE"/>
    <w:rsid w:val="00FC6712"/>
    <w:rsid w:val="00FC6B84"/>
    <w:rsid w:val="00FD1883"/>
    <w:rsid w:val="00FD4181"/>
    <w:rsid w:val="00FF55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CEF73"/>
  <w15:chartTrackingRefBased/>
  <w15:docId w15:val="{D01B17B3-AA9B-42B6-9709-7B256059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D94"/>
    <w:pPr>
      <w:spacing w:after="200" w:line="276" w:lineRule="auto"/>
    </w:pPr>
    <w:rPr>
      <w:rFonts w:ascii="Calibri" w:eastAsia="Calibri" w:hAnsi="Calibri" w:cs="Times New Roman"/>
      <w:lang w:val="es-PY"/>
    </w:rPr>
  </w:style>
  <w:style w:type="paragraph" w:styleId="Ttulo2">
    <w:name w:val="heading 2"/>
    <w:basedOn w:val="Normal"/>
    <w:next w:val="Normal"/>
    <w:link w:val="Ttulo2Car"/>
    <w:uiPriority w:val="9"/>
    <w:semiHidden/>
    <w:unhideWhenUsed/>
    <w:qFormat/>
    <w:rsid w:val="00C03A5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uiPriority w:val="9"/>
    <w:semiHidden/>
    <w:unhideWhenUsed/>
    <w:qFormat/>
    <w:rsid w:val="00E8465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C03A5D"/>
    <w:rPr>
      <w:rFonts w:asciiTheme="majorHAnsi" w:eastAsiaTheme="majorEastAsia" w:hAnsiTheme="majorHAnsi" w:cstheme="majorBidi"/>
      <w:color w:val="2E74B5" w:themeColor="accent1" w:themeShade="BF"/>
      <w:sz w:val="26"/>
      <w:szCs w:val="26"/>
      <w:lang w:val="es-PY"/>
    </w:rPr>
  </w:style>
  <w:style w:type="character" w:customStyle="1" w:styleId="Ttulo5Car">
    <w:name w:val="Título 5 Car"/>
    <w:basedOn w:val="Fuentedeprrafopredeter"/>
    <w:link w:val="Ttulo5"/>
    <w:uiPriority w:val="9"/>
    <w:semiHidden/>
    <w:rsid w:val="00E84658"/>
    <w:rPr>
      <w:rFonts w:asciiTheme="majorHAnsi" w:eastAsiaTheme="majorEastAsia" w:hAnsiTheme="majorHAnsi" w:cstheme="majorBidi"/>
      <w:color w:val="2E74B5" w:themeColor="accent1" w:themeShade="BF"/>
      <w:lang w:val="es-PY"/>
    </w:rPr>
  </w:style>
  <w:style w:type="paragraph" w:styleId="Prrafodelista">
    <w:name w:val="List Paragraph"/>
    <w:basedOn w:val="Normal"/>
    <w:link w:val="PrrafodelistaCar"/>
    <w:uiPriority w:val="34"/>
    <w:qFormat/>
    <w:rsid w:val="00EB6D94"/>
    <w:pPr>
      <w:widowControl w:val="0"/>
      <w:adjustRightInd w:val="0"/>
      <w:spacing w:after="0" w:line="360" w:lineRule="atLeast"/>
      <w:ind w:left="708"/>
      <w:jc w:val="both"/>
      <w:textAlignment w:val="baseline"/>
    </w:pPr>
    <w:rPr>
      <w:rFonts w:ascii="Times New Roman" w:eastAsia="Times New Roman" w:hAnsi="Times New Roman"/>
      <w:sz w:val="24"/>
      <w:szCs w:val="24"/>
      <w:lang w:val="es-ES_tradnl"/>
    </w:rPr>
  </w:style>
  <w:style w:type="character" w:customStyle="1" w:styleId="PrrafodelistaCar">
    <w:name w:val="Párrafo de lista Car"/>
    <w:link w:val="Prrafodelista"/>
    <w:uiPriority w:val="34"/>
    <w:rsid w:val="00EB6D94"/>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EB6D94"/>
    <w:rPr>
      <w:color w:val="0563C1" w:themeColor="hyperlink"/>
      <w:u w:val="single"/>
    </w:rPr>
  </w:style>
  <w:style w:type="paragraph" w:styleId="NormalWeb">
    <w:name w:val="Normal (Web)"/>
    <w:basedOn w:val="Normal"/>
    <w:uiPriority w:val="99"/>
    <w:unhideWhenUsed/>
    <w:rsid w:val="00EB6D94"/>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tulo">
    <w:name w:val="Title"/>
    <w:basedOn w:val="Normal"/>
    <w:link w:val="TtuloCar"/>
    <w:uiPriority w:val="10"/>
    <w:qFormat/>
    <w:rsid w:val="00BD22FD"/>
    <w:pPr>
      <w:spacing w:after="0" w:line="240" w:lineRule="auto"/>
      <w:ind w:left="431"/>
      <w:jc w:val="center"/>
    </w:pPr>
    <w:rPr>
      <w:rFonts w:ascii="Times New Roman" w:eastAsia="Times New Roman" w:hAnsi="Times New Roman"/>
      <w:b/>
      <w:sz w:val="28"/>
      <w:szCs w:val="20"/>
      <w:lang w:val="es-ES" w:eastAsia="es-ES"/>
    </w:rPr>
  </w:style>
  <w:style w:type="character" w:customStyle="1" w:styleId="TtuloCar">
    <w:name w:val="Título Car"/>
    <w:basedOn w:val="Fuentedeprrafopredeter"/>
    <w:link w:val="Ttulo"/>
    <w:uiPriority w:val="10"/>
    <w:rsid w:val="00BD22FD"/>
    <w:rPr>
      <w:rFonts w:ascii="Times New Roman" w:eastAsia="Times New Roman" w:hAnsi="Times New Roman" w:cs="Times New Roman"/>
      <w:b/>
      <w:sz w:val="28"/>
      <w:szCs w:val="20"/>
      <w:lang w:eastAsia="es-ES"/>
    </w:rPr>
  </w:style>
  <w:style w:type="paragraph" w:customStyle="1" w:styleId="Estilo2">
    <w:name w:val="Estilo2"/>
    <w:basedOn w:val="Ttulo"/>
    <w:link w:val="Estilo2Car"/>
    <w:autoRedefine/>
    <w:qFormat/>
    <w:rsid w:val="00911C88"/>
    <w:pPr>
      <w:numPr>
        <w:numId w:val="24"/>
      </w:numPr>
      <w:pBdr>
        <w:bottom w:val="single" w:sz="4" w:space="2" w:color="auto"/>
      </w:pBdr>
      <w:tabs>
        <w:tab w:val="left" w:pos="426"/>
      </w:tabs>
      <w:spacing w:line="276" w:lineRule="auto"/>
      <w:jc w:val="both"/>
    </w:pPr>
    <w:rPr>
      <w:rFonts w:asciiTheme="majorHAnsi" w:hAnsiTheme="majorHAnsi" w:cstheme="majorHAnsi"/>
      <w:sz w:val="22"/>
      <w:lang w:eastAsia="es-PY"/>
    </w:rPr>
  </w:style>
  <w:style w:type="character" w:customStyle="1" w:styleId="Estilo2Car">
    <w:name w:val="Estilo2 Car"/>
    <w:basedOn w:val="TtuloCar"/>
    <w:link w:val="Estilo2"/>
    <w:rsid w:val="00911C88"/>
    <w:rPr>
      <w:rFonts w:asciiTheme="majorHAnsi" w:eastAsia="Times New Roman" w:hAnsiTheme="majorHAnsi" w:cstheme="majorHAnsi"/>
      <w:b/>
      <w:sz w:val="28"/>
      <w:szCs w:val="20"/>
      <w:lang w:eastAsia="es-PY"/>
    </w:rPr>
  </w:style>
  <w:style w:type="character" w:styleId="Textodelmarcadordeposicin">
    <w:name w:val="Placeholder Text"/>
    <w:basedOn w:val="Fuentedeprrafopredeter"/>
    <w:uiPriority w:val="99"/>
    <w:semiHidden/>
    <w:rsid w:val="00042751"/>
    <w:rPr>
      <w:color w:val="808080"/>
    </w:rPr>
  </w:style>
  <w:style w:type="paragraph" w:styleId="Sinespaciado">
    <w:name w:val="No Spacing"/>
    <w:uiPriority w:val="1"/>
    <w:qFormat/>
    <w:rsid w:val="00690DBC"/>
    <w:pPr>
      <w:spacing w:after="0" w:line="240" w:lineRule="auto"/>
    </w:pPr>
    <w:rPr>
      <w:rFonts w:ascii="Calibri" w:eastAsia="Calibri" w:hAnsi="Calibri" w:cs="Times New Roman"/>
      <w:b/>
      <w:lang w:val="es-PY"/>
    </w:rPr>
  </w:style>
  <w:style w:type="table" w:styleId="Tablaconcuadrcula">
    <w:name w:val="Table Grid"/>
    <w:basedOn w:val="Tablanormal"/>
    <w:uiPriority w:val="39"/>
    <w:rsid w:val="003A3E4B"/>
    <w:pPr>
      <w:spacing w:after="0" w:line="240" w:lineRule="auto"/>
    </w:pPr>
    <w:rPr>
      <w:rFonts w:ascii="Times New Roman" w:eastAsia="Times New Roman" w:hAnsi="Times New Roman" w:cs="Times New Roman"/>
      <w:sz w:val="20"/>
      <w:szCs w:val="20"/>
      <w:lang w:val="es-PY" w:eastAsia="es-P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3A3E4B"/>
    <w:pPr>
      <w:widowControl w:val="0"/>
      <w:suppressLineNumbers/>
      <w:suppressAutoHyphens/>
      <w:spacing w:after="0" w:line="240" w:lineRule="auto"/>
    </w:pPr>
    <w:rPr>
      <w:rFonts w:ascii="Times New Roman" w:eastAsia="Arial Unicode MS" w:hAnsi="Times New Roman"/>
      <w:sz w:val="24"/>
      <w:szCs w:val="24"/>
      <w:lang w:val="en-US"/>
    </w:rPr>
  </w:style>
  <w:style w:type="paragraph" w:customStyle="1" w:styleId="SectionVIHeader">
    <w:name w:val="Section VI. Header"/>
    <w:basedOn w:val="Normal"/>
    <w:rsid w:val="00E84658"/>
    <w:pPr>
      <w:widowControl w:val="0"/>
      <w:adjustRightInd w:val="0"/>
      <w:spacing w:before="120" w:after="240" w:line="360" w:lineRule="atLeast"/>
      <w:jc w:val="center"/>
      <w:textAlignment w:val="baseline"/>
    </w:pPr>
    <w:rPr>
      <w:rFonts w:ascii="Times New Roman" w:eastAsia="Times New Roman" w:hAnsi="Times New Roman"/>
      <w:b/>
      <w:sz w:val="36"/>
      <w:szCs w:val="20"/>
      <w:lang w:val="en-US"/>
    </w:rPr>
  </w:style>
  <w:style w:type="character" w:styleId="nfasis">
    <w:name w:val="Emphasis"/>
    <w:uiPriority w:val="20"/>
    <w:qFormat/>
    <w:rsid w:val="00E84658"/>
    <w:rPr>
      <w:i/>
      <w:iCs/>
    </w:rPr>
  </w:style>
  <w:style w:type="paragraph" w:customStyle="1" w:styleId="Default">
    <w:name w:val="Default"/>
    <w:rsid w:val="00E84658"/>
    <w:pPr>
      <w:autoSpaceDE w:val="0"/>
      <w:autoSpaceDN w:val="0"/>
      <w:adjustRightInd w:val="0"/>
      <w:spacing w:after="0" w:line="240" w:lineRule="auto"/>
    </w:pPr>
    <w:rPr>
      <w:rFonts w:ascii="Arial" w:eastAsia="Calibri" w:hAnsi="Arial" w:cs="Arial"/>
      <w:color w:val="000000"/>
      <w:sz w:val="24"/>
      <w:szCs w:val="24"/>
      <w:lang w:val="es-PY" w:eastAsia="es-PY"/>
    </w:rPr>
  </w:style>
  <w:style w:type="paragraph" w:customStyle="1" w:styleId="titulo">
    <w:name w:val="titulo"/>
    <w:basedOn w:val="Ttulo5"/>
    <w:rsid w:val="00E84658"/>
    <w:pPr>
      <w:keepNext w:val="0"/>
      <w:keepLines w:val="0"/>
      <w:spacing w:before="0" w:after="240" w:line="240" w:lineRule="auto"/>
      <w:jc w:val="center"/>
    </w:pPr>
    <w:rPr>
      <w:rFonts w:ascii="Times New Roman Bold" w:eastAsia="Times New Roman" w:hAnsi="Times New Roman Bold" w:cs="Times New Roman"/>
      <w:b/>
      <w:color w:val="auto"/>
      <w:sz w:val="24"/>
      <w:szCs w:val="20"/>
      <w:lang w:val="en-US"/>
    </w:rPr>
  </w:style>
  <w:style w:type="paragraph" w:styleId="Encabezado">
    <w:name w:val="header"/>
    <w:basedOn w:val="Normal"/>
    <w:link w:val="EncabezadoCar"/>
    <w:uiPriority w:val="99"/>
    <w:unhideWhenUsed/>
    <w:rsid w:val="00E222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228D"/>
    <w:rPr>
      <w:rFonts w:ascii="Calibri" w:eastAsia="Calibri" w:hAnsi="Calibri" w:cs="Times New Roman"/>
      <w:lang w:val="es-PY"/>
    </w:rPr>
  </w:style>
  <w:style w:type="paragraph" w:styleId="Piedepgina">
    <w:name w:val="footer"/>
    <w:basedOn w:val="Normal"/>
    <w:link w:val="PiedepginaCar"/>
    <w:uiPriority w:val="99"/>
    <w:unhideWhenUsed/>
    <w:rsid w:val="00E222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228D"/>
    <w:rPr>
      <w:rFonts w:ascii="Calibri" w:eastAsia="Calibri" w:hAnsi="Calibri" w:cs="Times New Roman"/>
      <w:lang w:val="es-PY"/>
    </w:rPr>
  </w:style>
  <w:style w:type="character" w:styleId="Hipervnculovisitado">
    <w:name w:val="FollowedHyperlink"/>
    <w:basedOn w:val="Fuentedeprrafopredeter"/>
    <w:uiPriority w:val="99"/>
    <w:semiHidden/>
    <w:unhideWhenUsed/>
    <w:rsid w:val="00DE27EC"/>
    <w:rPr>
      <w:color w:val="96607D"/>
      <w:u w:val="single"/>
    </w:rPr>
  </w:style>
  <w:style w:type="paragraph" w:customStyle="1" w:styleId="msonormal0">
    <w:name w:val="msonormal"/>
    <w:basedOn w:val="Normal"/>
    <w:rsid w:val="00DE27EC"/>
    <w:pPr>
      <w:spacing w:before="100" w:beforeAutospacing="1" w:after="100" w:afterAutospacing="1" w:line="240" w:lineRule="auto"/>
    </w:pPr>
    <w:rPr>
      <w:rFonts w:ascii="Times New Roman" w:eastAsia="Times New Roman" w:hAnsi="Times New Roman"/>
      <w:sz w:val="24"/>
      <w:szCs w:val="24"/>
      <w:lang w:eastAsia="es-PY"/>
    </w:rPr>
  </w:style>
  <w:style w:type="paragraph" w:customStyle="1" w:styleId="xl65">
    <w:name w:val="xl65"/>
    <w:basedOn w:val="Normal"/>
    <w:rsid w:val="00DE27E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6"/>
      <w:szCs w:val="16"/>
      <w:lang w:eastAsia="es-PY"/>
    </w:rPr>
  </w:style>
  <w:style w:type="paragraph" w:customStyle="1" w:styleId="xl66">
    <w:name w:val="xl66"/>
    <w:basedOn w:val="Normal"/>
    <w:rsid w:val="00DE27EC"/>
    <w:pP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67">
    <w:name w:val="xl67"/>
    <w:basedOn w:val="Normal"/>
    <w:rsid w:val="00DE27EC"/>
    <w:pPr>
      <w:spacing w:before="100" w:beforeAutospacing="1" w:after="100" w:afterAutospacing="1" w:line="240" w:lineRule="auto"/>
      <w:textAlignment w:val="center"/>
    </w:pPr>
    <w:rPr>
      <w:rFonts w:ascii="Arial" w:eastAsia="Times New Roman" w:hAnsi="Arial" w:cs="Arial"/>
      <w:sz w:val="16"/>
      <w:szCs w:val="16"/>
      <w:lang w:eastAsia="es-PY"/>
    </w:rPr>
  </w:style>
  <w:style w:type="paragraph" w:customStyle="1" w:styleId="xl68">
    <w:name w:val="xl68"/>
    <w:basedOn w:val="Normal"/>
    <w:rsid w:val="00DE27E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16"/>
      <w:szCs w:val="16"/>
      <w:lang w:eastAsia="es-PY"/>
    </w:rPr>
  </w:style>
  <w:style w:type="paragraph" w:customStyle="1" w:styleId="xl69">
    <w:name w:val="xl69"/>
    <w:basedOn w:val="Normal"/>
    <w:rsid w:val="00DE27EC"/>
    <w:pPr>
      <w:spacing w:before="100" w:beforeAutospacing="1" w:after="100" w:afterAutospacing="1" w:line="240" w:lineRule="auto"/>
      <w:textAlignment w:val="center"/>
    </w:pPr>
    <w:rPr>
      <w:rFonts w:ascii="Arial" w:eastAsia="Times New Roman" w:hAnsi="Arial" w:cs="Arial"/>
      <w:sz w:val="16"/>
      <w:szCs w:val="16"/>
      <w:lang w:eastAsia="es-PY"/>
    </w:rPr>
  </w:style>
  <w:style w:type="paragraph" w:customStyle="1" w:styleId="xl70">
    <w:name w:val="xl70"/>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71">
    <w:name w:val="xl71"/>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72">
    <w:name w:val="xl72"/>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PY"/>
    </w:rPr>
  </w:style>
  <w:style w:type="paragraph" w:customStyle="1" w:styleId="xl73">
    <w:name w:val="xl73"/>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74">
    <w:name w:val="xl74"/>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paragraph" w:customStyle="1" w:styleId="xl75">
    <w:name w:val="xl75"/>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es-PY"/>
    </w:rPr>
  </w:style>
  <w:style w:type="paragraph" w:customStyle="1" w:styleId="xl76">
    <w:name w:val="xl76"/>
    <w:basedOn w:val="Normal"/>
    <w:rsid w:val="00DE27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PY"/>
    </w:rPr>
  </w:style>
  <w:style w:type="character" w:styleId="Mencinsinresolver">
    <w:name w:val="Unresolved Mention"/>
    <w:basedOn w:val="Fuentedeprrafopredeter"/>
    <w:uiPriority w:val="99"/>
    <w:semiHidden/>
    <w:unhideWhenUsed/>
    <w:rsid w:val="00271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3409">
      <w:bodyDiv w:val="1"/>
      <w:marLeft w:val="0"/>
      <w:marRight w:val="0"/>
      <w:marTop w:val="0"/>
      <w:marBottom w:val="0"/>
      <w:divBdr>
        <w:top w:val="none" w:sz="0" w:space="0" w:color="auto"/>
        <w:left w:val="none" w:sz="0" w:space="0" w:color="auto"/>
        <w:bottom w:val="none" w:sz="0" w:space="0" w:color="auto"/>
        <w:right w:val="none" w:sz="0" w:space="0" w:color="auto"/>
      </w:divBdr>
    </w:div>
    <w:div w:id="108866616">
      <w:bodyDiv w:val="1"/>
      <w:marLeft w:val="0"/>
      <w:marRight w:val="0"/>
      <w:marTop w:val="0"/>
      <w:marBottom w:val="0"/>
      <w:divBdr>
        <w:top w:val="none" w:sz="0" w:space="0" w:color="auto"/>
        <w:left w:val="none" w:sz="0" w:space="0" w:color="auto"/>
        <w:bottom w:val="none" w:sz="0" w:space="0" w:color="auto"/>
        <w:right w:val="none" w:sz="0" w:space="0" w:color="auto"/>
      </w:divBdr>
    </w:div>
    <w:div w:id="163059817">
      <w:bodyDiv w:val="1"/>
      <w:marLeft w:val="0"/>
      <w:marRight w:val="0"/>
      <w:marTop w:val="0"/>
      <w:marBottom w:val="0"/>
      <w:divBdr>
        <w:top w:val="none" w:sz="0" w:space="0" w:color="auto"/>
        <w:left w:val="none" w:sz="0" w:space="0" w:color="auto"/>
        <w:bottom w:val="none" w:sz="0" w:space="0" w:color="auto"/>
        <w:right w:val="none" w:sz="0" w:space="0" w:color="auto"/>
      </w:divBdr>
    </w:div>
    <w:div w:id="341013258">
      <w:bodyDiv w:val="1"/>
      <w:marLeft w:val="0"/>
      <w:marRight w:val="0"/>
      <w:marTop w:val="0"/>
      <w:marBottom w:val="0"/>
      <w:divBdr>
        <w:top w:val="none" w:sz="0" w:space="0" w:color="auto"/>
        <w:left w:val="none" w:sz="0" w:space="0" w:color="auto"/>
        <w:bottom w:val="none" w:sz="0" w:space="0" w:color="auto"/>
        <w:right w:val="none" w:sz="0" w:space="0" w:color="auto"/>
      </w:divBdr>
    </w:div>
    <w:div w:id="360470696">
      <w:bodyDiv w:val="1"/>
      <w:marLeft w:val="0"/>
      <w:marRight w:val="0"/>
      <w:marTop w:val="0"/>
      <w:marBottom w:val="0"/>
      <w:divBdr>
        <w:top w:val="none" w:sz="0" w:space="0" w:color="auto"/>
        <w:left w:val="none" w:sz="0" w:space="0" w:color="auto"/>
        <w:bottom w:val="none" w:sz="0" w:space="0" w:color="auto"/>
        <w:right w:val="none" w:sz="0" w:space="0" w:color="auto"/>
      </w:divBdr>
    </w:div>
    <w:div w:id="383021819">
      <w:bodyDiv w:val="1"/>
      <w:marLeft w:val="0"/>
      <w:marRight w:val="0"/>
      <w:marTop w:val="0"/>
      <w:marBottom w:val="0"/>
      <w:divBdr>
        <w:top w:val="none" w:sz="0" w:space="0" w:color="auto"/>
        <w:left w:val="none" w:sz="0" w:space="0" w:color="auto"/>
        <w:bottom w:val="none" w:sz="0" w:space="0" w:color="auto"/>
        <w:right w:val="none" w:sz="0" w:space="0" w:color="auto"/>
      </w:divBdr>
    </w:div>
    <w:div w:id="407582170">
      <w:bodyDiv w:val="1"/>
      <w:marLeft w:val="0"/>
      <w:marRight w:val="0"/>
      <w:marTop w:val="0"/>
      <w:marBottom w:val="0"/>
      <w:divBdr>
        <w:top w:val="none" w:sz="0" w:space="0" w:color="auto"/>
        <w:left w:val="none" w:sz="0" w:space="0" w:color="auto"/>
        <w:bottom w:val="none" w:sz="0" w:space="0" w:color="auto"/>
        <w:right w:val="none" w:sz="0" w:space="0" w:color="auto"/>
      </w:divBdr>
    </w:div>
    <w:div w:id="457456193">
      <w:bodyDiv w:val="1"/>
      <w:marLeft w:val="0"/>
      <w:marRight w:val="0"/>
      <w:marTop w:val="0"/>
      <w:marBottom w:val="0"/>
      <w:divBdr>
        <w:top w:val="none" w:sz="0" w:space="0" w:color="auto"/>
        <w:left w:val="none" w:sz="0" w:space="0" w:color="auto"/>
        <w:bottom w:val="none" w:sz="0" w:space="0" w:color="auto"/>
        <w:right w:val="none" w:sz="0" w:space="0" w:color="auto"/>
      </w:divBdr>
    </w:div>
    <w:div w:id="492918000">
      <w:bodyDiv w:val="1"/>
      <w:marLeft w:val="0"/>
      <w:marRight w:val="0"/>
      <w:marTop w:val="0"/>
      <w:marBottom w:val="0"/>
      <w:divBdr>
        <w:top w:val="none" w:sz="0" w:space="0" w:color="auto"/>
        <w:left w:val="none" w:sz="0" w:space="0" w:color="auto"/>
        <w:bottom w:val="none" w:sz="0" w:space="0" w:color="auto"/>
        <w:right w:val="none" w:sz="0" w:space="0" w:color="auto"/>
      </w:divBdr>
    </w:div>
    <w:div w:id="520971828">
      <w:bodyDiv w:val="1"/>
      <w:marLeft w:val="0"/>
      <w:marRight w:val="0"/>
      <w:marTop w:val="0"/>
      <w:marBottom w:val="0"/>
      <w:divBdr>
        <w:top w:val="none" w:sz="0" w:space="0" w:color="auto"/>
        <w:left w:val="none" w:sz="0" w:space="0" w:color="auto"/>
        <w:bottom w:val="none" w:sz="0" w:space="0" w:color="auto"/>
        <w:right w:val="none" w:sz="0" w:space="0" w:color="auto"/>
      </w:divBdr>
      <w:divsChild>
        <w:div w:id="1190341280">
          <w:marLeft w:val="0"/>
          <w:marRight w:val="0"/>
          <w:marTop w:val="0"/>
          <w:marBottom w:val="0"/>
          <w:divBdr>
            <w:top w:val="none" w:sz="0" w:space="0" w:color="auto"/>
            <w:left w:val="none" w:sz="0" w:space="0" w:color="auto"/>
            <w:bottom w:val="none" w:sz="0" w:space="0" w:color="auto"/>
            <w:right w:val="none" w:sz="0" w:space="0" w:color="auto"/>
          </w:divBdr>
          <w:divsChild>
            <w:div w:id="1708482635">
              <w:marLeft w:val="0"/>
              <w:marRight w:val="0"/>
              <w:marTop w:val="0"/>
              <w:marBottom w:val="0"/>
              <w:divBdr>
                <w:top w:val="none" w:sz="0" w:space="0" w:color="auto"/>
                <w:left w:val="none" w:sz="0" w:space="0" w:color="auto"/>
                <w:bottom w:val="none" w:sz="0" w:space="0" w:color="auto"/>
                <w:right w:val="none" w:sz="0" w:space="0" w:color="auto"/>
              </w:divBdr>
            </w:div>
          </w:divsChild>
        </w:div>
        <w:div w:id="532230031">
          <w:marLeft w:val="0"/>
          <w:marRight w:val="0"/>
          <w:marTop w:val="0"/>
          <w:marBottom w:val="0"/>
          <w:divBdr>
            <w:top w:val="none" w:sz="0" w:space="0" w:color="auto"/>
            <w:left w:val="none" w:sz="0" w:space="0" w:color="auto"/>
            <w:bottom w:val="none" w:sz="0" w:space="0" w:color="auto"/>
            <w:right w:val="none" w:sz="0" w:space="0" w:color="auto"/>
          </w:divBdr>
          <w:divsChild>
            <w:div w:id="5223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63822">
      <w:bodyDiv w:val="1"/>
      <w:marLeft w:val="0"/>
      <w:marRight w:val="0"/>
      <w:marTop w:val="0"/>
      <w:marBottom w:val="0"/>
      <w:divBdr>
        <w:top w:val="none" w:sz="0" w:space="0" w:color="auto"/>
        <w:left w:val="none" w:sz="0" w:space="0" w:color="auto"/>
        <w:bottom w:val="none" w:sz="0" w:space="0" w:color="auto"/>
        <w:right w:val="none" w:sz="0" w:space="0" w:color="auto"/>
      </w:divBdr>
    </w:div>
    <w:div w:id="541983286">
      <w:bodyDiv w:val="1"/>
      <w:marLeft w:val="0"/>
      <w:marRight w:val="0"/>
      <w:marTop w:val="0"/>
      <w:marBottom w:val="0"/>
      <w:divBdr>
        <w:top w:val="none" w:sz="0" w:space="0" w:color="auto"/>
        <w:left w:val="none" w:sz="0" w:space="0" w:color="auto"/>
        <w:bottom w:val="none" w:sz="0" w:space="0" w:color="auto"/>
        <w:right w:val="none" w:sz="0" w:space="0" w:color="auto"/>
      </w:divBdr>
      <w:divsChild>
        <w:div w:id="110974230">
          <w:marLeft w:val="0"/>
          <w:marRight w:val="0"/>
          <w:marTop w:val="0"/>
          <w:marBottom w:val="0"/>
          <w:divBdr>
            <w:top w:val="none" w:sz="0" w:space="0" w:color="auto"/>
            <w:left w:val="none" w:sz="0" w:space="0" w:color="auto"/>
            <w:bottom w:val="none" w:sz="0" w:space="0" w:color="auto"/>
            <w:right w:val="none" w:sz="0" w:space="0" w:color="auto"/>
          </w:divBdr>
          <w:divsChild>
            <w:div w:id="530147926">
              <w:marLeft w:val="0"/>
              <w:marRight w:val="0"/>
              <w:marTop w:val="0"/>
              <w:marBottom w:val="0"/>
              <w:divBdr>
                <w:top w:val="none" w:sz="0" w:space="0" w:color="auto"/>
                <w:left w:val="none" w:sz="0" w:space="0" w:color="auto"/>
                <w:bottom w:val="none" w:sz="0" w:space="0" w:color="auto"/>
                <w:right w:val="none" w:sz="0" w:space="0" w:color="auto"/>
              </w:divBdr>
            </w:div>
          </w:divsChild>
        </w:div>
        <w:div w:id="1424497757">
          <w:marLeft w:val="0"/>
          <w:marRight w:val="0"/>
          <w:marTop w:val="0"/>
          <w:marBottom w:val="0"/>
          <w:divBdr>
            <w:top w:val="none" w:sz="0" w:space="0" w:color="auto"/>
            <w:left w:val="none" w:sz="0" w:space="0" w:color="auto"/>
            <w:bottom w:val="none" w:sz="0" w:space="0" w:color="auto"/>
            <w:right w:val="none" w:sz="0" w:space="0" w:color="auto"/>
          </w:divBdr>
          <w:divsChild>
            <w:div w:id="14168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8034">
      <w:bodyDiv w:val="1"/>
      <w:marLeft w:val="0"/>
      <w:marRight w:val="0"/>
      <w:marTop w:val="0"/>
      <w:marBottom w:val="0"/>
      <w:divBdr>
        <w:top w:val="none" w:sz="0" w:space="0" w:color="auto"/>
        <w:left w:val="none" w:sz="0" w:space="0" w:color="auto"/>
        <w:bottom w:val="none" w:sz="0" w:space="0" w:color="auto"/>
        <w:right w:val="none" w:sz="0" w:space="0" w:color="auto"/>
      </w:divBdr>
    </w:div>
    <w:div w:id="650838630">
      <w:bodyDiv w:val="1"/>
      <w:marLeft w:val="0"/>
      <w:marRight w:val="0"/>
      <w:marTop w:val="0"/>
      <w:marBottom w:val="0"/>
      <w:divBdr>
        <w:top w:val="none" w:sz="0" w:space="0" w:color="auto"/>
        <w:left w:val="none" w:sz="0" w:space="0" w:color="auto"/>
        <w:bottom w:val="none" w:sz="0" w:space="0" w:color="auto"/>
        <w:right w:val="none" w:sz="0" w:space="0" w:color="auto"/>
      </w:divBdr>
    </w:div>
    <w:div w:id="659965452">
      <w:bodyDiv w:val="1"/>
      <w:marLeft w:val="0"/>
      <w:marRight w:val="0"/>
      <w:marTop w:val="0"/>
      <w:marBottom w:val="0"/>
      <w:divBdr>
        <w:top w:val="none" w:sz="0" w:space="0" w:color="auto"/>
        <w:left w:val="none" w:sz="0" w:space="0" w:color="auto"/>
        <w:bottom w:val="none" w:sz="0" w:space="0" w:color="auto"/>
        <w:right w:val="none" w:sz="0" w:space="0" w:color="auto"/>
      </w:divBdr>
    </w:div>
    <w:div w:id="687949008">
      <w:bodyDiv w:val="1"/>
      <w:marLeft w:val="0"/>
      <w:marRight w:val="0"/>
      <w:marTop w:val="0"/>
      <w:marBottom w:val="0"/>
      <w:divBdr>
        <w:top w:val="none" w:sz="0" w:space="0" w:color="auto"/>
        <w:left w:val="none" w:sz="0" w:space="0" w:color="auto"/>
        <w:bottom w:val="none" w:sz="0" w:space="0" w:color="auto"/>
        <w:right w:val="none" w:sz="0" w:space="0" w:color="auto"/>
      </w:divBdr>
    </w:div>
    <w:div w:id="703292488">
      <w:bodyDiv w:val="1"/>
      <w:marLeft w:val="0"/>
      <w:marRight w:val="0"/>
      <w:marTop w:val="0"/>
      <w:marBottom w:val="0"/>
      <w:divBdr>
        <w:top w:val="none" w:sz="0" w:space="0" w:color="auto"/>
        <w:left w:val="none" w:sz="0" w:space="0" w:color="auto"/>
        <w:bottom w:val="none" w:sz="0" w:space="0" w:color="auto"/>
        <w:right w:val="none" w:sz="0" w:space="0" w:color="auto"/>
      </w:divBdr>
    </w:div>
    <w:div w:id="771242728">
      <w:bodyDiv w:val="1"/>
      <w:marLeft w:val="0"/>
      <w:marRight w:val="0"/>
      <w:marTop w:val="0"/>
      <w:marBottom w:val="0"/>
      <w:divBdr>
        <w:top w:val="none" w:sz="0" w:space="0" w:color="auto"/>
        <w:left w:val="none" w:sz="0" w:space="0" w:color="auto"/>
        <w:bottom w:val="none" w:sz="0" w:space="0" w:color="auto"/>
        <w:right w:val="none" w:sz="0" w:space="0" w:color="auto"/>
      </w:divBdr>
    </w:div>
    <w:div w:id="774595935">
      <w:bodyDiv w:val="1"/>
      <w:marLeft w:val="0"/>
      <w:marRight w:val="0"/>
      <w:marTop w:val="0"/>
      <w:marBottom w:val="0"/>
      <w:divBdr>
        <w:top w:val="none" w:sz="0" w:space="0" w:color="auto"/>
        <w:left w:val="none" w:sz="0" w:space="0" w:color="auto"/>
        <w:bottom w:val="none" w:sz="0" w:space="0" w:color="auto"/>
        <w:right w:val="none" w:sz="0" w:space="0" w:color="auto"/>
      </w:divBdr>
    </w:div>
    <w:div w:id="812526681">
      <w:bodyDiv w:val="1"/>
      <w:marLeft w:val="0"/>
      <w:marRight w:val="0"/>
      <w:marTop w:val="0"/>
      <w:marBottom w:val="0"/>
      <w:divBdr>
        <w:top w:val="none" w:sz="0" w:space="0" w:color="auto"/>
        <w:left w:val="none" w:sz="0" w:space="0" w:color="auto"/>
        <w:bottom w:val="none" w:sz="0" w:space="0" w:color="auto"/>
        <w:right w:val="none" w:sz="0" w:space="0" w:color="auto"/>
      </w:divBdr>
    </w:div>
    <w:div w:id="845901924">
      <w:bodyDiv w:val="1"/>
      <w:marLeft w:val="0"/>
      <w:marRight w:val="0"/>
      <w:marTop w:val="0"/>
      <w:marBottom w:val="0"/>
      <w:divBdr>
        <w:top w:val="none" w:sz="0" w:space="0" w:color="auto"/>
        <w:left w:val="none" w:sz="0" w:space="0" w:color="auto"/>
        <w:bottom w:val="none" w:sz="0" w:space="0" w:color="auto"/>
        <w:right w:val="none" w:sz="0" w:space="0" w:color="auto"/>
      </w:divBdr>
    </w:div>
    <w:div w:id="888345418">
      <w:bodyDiv w:val="1"/>
      <w:marLeft w:val="0"/>
      <w:marRight w:val="0"/>
      <w:marTop w:val="0"/>
      <w:marBottom w:val="0"/>
      <w:divBdr>
        <w:top w:val="none" w:sz="0" w:space="0" w:color="auto"/>
        <w:left w:val="none" w:sz="0" w:space="0" w:color="auto"/>
        <w:bottom w:val="none" w:sz="0" w:space="0" w:color="auto"/>
        <w:right w:val="none" w:sz="0" w:space="0" w:color="auto"/>
      </w:divBdr>
      <w:divsChild>
        <w:div w:id="1909221862">
          <w:marLeft w:val="0"/>
          <w:marRight w:val="0"/>
          <w:marTop w:val="0"/>
          <w:marBottom w:val="120"/>
          <w:divBdr>
            <w:top w:val="single" w:sz="6" w:space="0" w:color="E6E9ED"/>
            <w:left w:val="single" w:sz="6" w:space="0" w:color="E6E9ED"/>
            <w:bottom w:val="single" w:sz="6" w:space="0" w:color="E6E9ED"/>
            <w:right w:val="single" w:sz="6" w:space="0" w:color="E6E9ED"/>
          </w:divBdr>
          <w:divsChild>
            <w:div w:id="774594753">
              <w:marLeft w:val="0"/>
              <w:marRight w:val="0"/>
              <w:marTop w:val="0"/>
              <w:marBottom w:val="0"/>
              <w:divBdr>
                <w:top w:val="none" w:sz="0" w:space="0" w:color="auto"/>
                <w:left w:val="none" w:sz="0" w:space="0" w:color="auto"/>
                <w:bottom w:val="none" w:sz="0" w:space="0" w:color="auto"/>
                <w:right w:val="none" w:sz="0" w:space="0" w:color="auto"/>
              </w:divBdr>
              <w:divsChild>
                <w:div w:id="1692220743">
                  <w:marLeft w:val="-90"/>
                  <w:marRight w:val="-90"/>
                  <w:marTop w:val="0"/>
                  <w:marBottom w:val="0"/>
                  <w:divBdr>
                    <w:top w:val="none" w:sz="0" w:space="0" w:color="auto"/>
                    <w:left w:val="none" w:sz="0" w:space="0" w:color="auto"/>
                    <w:bottom w:val="none" w:sz="0" w:space="0" w:color="auto"/>
                    <w:right w:val="none" w:sz="0" w:space="0" w:color="auto"/>
                  </w:divBdr>
                  <w:divsChild>
                    <w:div w:id="105270073">
                      <w:marLeft w:val="0"/>
                      <w:marRight w:val="0"/>
                      <w:marTop w:val="0"/>
                      <w:marBottom w:val="0"/>
                      <w:divBdr>
                        <w:top w:val="none" w:sz="0" w:space="0" w:color="auto"/>
                        <w:left w:val="none" w:sz="0" w:space="0" w:color="auto"/>
                        <w:bottom w:val="none" w:sz="0" w:space="0" w:color="auto"/>
                        <w:right w:val="none" w:sz="0" w:space="0" w:color="auto"/>
                      </w:divBdr>
                    </w:div>
                  </w:divsChild>
                </w:div>
                <w:div w:id="1649894959">
                  <w:marLeft w:val="-90"/>
                  <w:marRight w:val="-90"/>
                  <w:marTop w:val="0"/>
                  <w:marBottom w:val="0"/>
                  <w:divBdr>
                    <w:top w:val="none" w:sz="0" w:space="0" w:color="auto"/>
                    <w:left w:val="none" w:sz="0" w:space="0" w:color="auto"/>
                    <w:bottom w:val="none" w:sz="0" w:space="0" w:color="auto"/>
                    <w:right w:val="none" w:sz="0" w:space="0" w:color="auto"/>
                  </w:divBdr>
                  <w:divsChild>
                    <w:div w:id="1406952701">
                      <w:marLeft w:val="0"/>
                      <w:marRight w:val="0"/>
                      <w:marTop w:val="0"/>
                      <w:marBottom w:val="0"/>
                      <w:divBdr>
                        <w:top w:val="dashed" w:sz="6" w:space="0" w:color="D8DDE4"/>
                        <w:left w:val="single" w:sz="12" w:space="5" w:color="D8DDE4"/>
                        <w:bottom w:val="dashed" w:sz="6" w:space="0" w:color="D8DDE4"/>
                        <w:right w:val="single" w:sz="12" w:space="5" w:color="D8DDE4"/>
                      </w:divBdr>
                    </w:div>
                  </w:divsChild>
                </w:div>
              </w:divsChild>
            </w:div>
          </w:divsChild>
        </w:div>
      </w:divsChild>
    </w:div>
    <w:div w:id="888804656">
      <w:bodyDiv w:val="1"/>
      <w:marLeft w:val="0"/>
      <w:marRight w:val="0"/>
      <w:marTop w:val="0"/>
      <w:marBottom w:val="0"/>
      <w:divBdr>
        <w:top w:val="none" w:sz="0" w:space="0" w:color="auto"/>
        <w:left w:val="none" w:sz="0" w:space="0" w:color="auto"/>
        <w:bottom w:val="none" w:sz="0" w:space="0" w:color="auto"/>
        <w:right w:val="none" w:sz="0" w:space="0" w:color="auto"/>
      </w:divBdr>
    </w:div>
    <w:div w:id="927692356">
      <w:bodyDiv w:val="1"/>
      <w:marLeft w:val="0"/>
      <w:marRight w:val="0"/>
      <w:marTop w:val="0"/>
      <w:marBottom w:val="0"/>
      <w:divBdr>
        <w:top w:val="none" w:sz="0" w:space="0" w:color="auto"/>
        <w:left w:val="none" w:sz="0" w:space="0" w:color="auto"/>
        <w:bottom w:val="none" w:sz="0" w:space="0" w:color="auto"/>
        <w:right w:val="none" w:sz="0" w:space="0" w:color="auto"/>
      </w:divBdr>
    </w:div>
    <w:div w:id="980964099">
      <w:bodyDiv w:val="1"/>
      <w:marLeft w:val="0"/>
      <w:marRight w:val="0"/>
      <w:marTop w:val="0"/>
      <w:marBottom w:val="0"/>
      <w:divBdr>
        <w:top w:val="none" w:sz="0" w:space="0" w:color="auto"/>
        <w:left w:val="none" w:sz="0" w:space="0" w:color="auto"/>
        <w:bottom w:val="none" w:sz="0" w:space="0" w:color="auto"/>
        <w:right w:val="none" w:sz="0" w:space="0" w:color="auto"/>
      </w:divBdr>
    </w:div>
    <w:div w:id="1051155484">
      <w:bodyDiv w:val="1"/>
      <w:marLeft w:val="0"/>
      <w:marRight w:val="0"/>
      <w:marTop w:val="0"/>
      <w:marBottom w:val="0"/>
      <w:divBdr>
        <w:top w:val="none" w:sz="0" w:space="0" w:color="auto"/>
        <w:left w:val="none" w:sz="0" w:space="0" w:color="auto"/>
        <w:bottom w:val="none" w:sz="0" w:space="0" w:color="auto"/>
        <w:right w:val="none" w:sz="0" w:space="0" w:color="auto"/>
      </w:divBdr>
    </w:div>
    <w:div w:id="1060596187">
      <w:bodyDiv w:val="1"/>
      <w:marLeft w:val="0"/>
      <w:marRight w:val="0"/>
      <w:marTop w:val="0"/>
      <w:marBottom w:val="0"/>
      <w:divBdr>
        <w:top w:val="none" w:sz="0" w:space="0" w:color="auto"/>
        <w:left w:val="none" w:sz="0" w:space="0" w:color="auto"/>
        <w:bottom w:val="none" w:sz="0" w:space="0" w:color="auto"/>
        <w:right w:val="none" w:sz="0" w:space="0" w:color="auto"/>
      </w:divBdr>
    </w:div>
    <w:div w:id="1148398467">
      <w:bodyDiv w:val="1"/>
      <w:marLeft w:val="0"/>
      <w:marRight w:val="0"/>
      <w:marTop w:val="0"/>
      <w:marBottom w:val="0"/>
      <w:divBdr>
        <w:top w:val="none" w:sz="0" w:space="0" w:color="auto"/>
        <w:left w:val="none" w:sz="0" w:space="0" w:color="auto"/>
        <w:bottom w:val="none" w:sz="0" w:space="0" w:color="auto"/>
        <w:right w:val="none" w:sz="0" w:space="0" w:color="auto"/>
      </w:divBdr>
    </w:div>
    <w:div w:id="1168714145">
      <w:bodyDiv w:val="1"/>
      <w:marLeft w:val="0"/>
      <w:marRight w:val="0"/>
      <w:marTop w:val="0"/>
      <w:marBottom w:val="0"/>
      <w:divBdr>
        <w:top w:val="none" w:sz="0" w:space="0" w:color="auto"/>
        <w:left w:val="none" w:sz="0" w:space="0" w:color="auto"/>
        <w:bottom w:val="none" w:sz="0" w:space="0" w:color="auto"/>
        <w:right w:val="none" w:sz="0" w:space="0" w:color="auto"/>
      </w:divBdr>
    </w:div>
    <w:div w:id="1197961484">
      <w:bodyDiv w:val="1"/>
      <w:marLeft w:val="0"/>
      <w:marRight w:val="0"/>
      <w:marTop w:val="0"/>
      <w:marBottom w:val="0"/>
      <w:divBdr>
        <w:top w:val="none" w:sz="0" w:space="0" w:color="auto"/>
        <w:left w:val="none" w:sz="0" w:space="0" w:color="auto"/>
        <w:bottom w:val="none" w:sz="0" w:space="0" w:color="auto"/>
        <w:right w:val="none" w:sz="0" w:space="0" w:color="auto"/>
      </w:divBdr>
    </w:div>
    <w:div w:id="1246649386">
      <w:bodyDiv w:val="1"/>
      <w:marLeft w:val="0"/>
      <w:marRight w:val="0"/>
      <w:marTop w:val="0"/>
      <w:marBottom w:val="0"/>
      <w:divBdr>
        <w:top w:val="none" w:sz="0" w:space="0" w:color="auto"/>
        <w:left w:val="none" w:sz="0" w:space="0" w:color="auto"/>
        <w:bottom w:val="none" w:sz="0" w:space="0" w:color="auto"/>
        <w:right w:val="none" w:sz="0" w:space="0" w:color="auto"/>
      </w:divBdr>
    </w:div>
    <w:div w:id="1255284487">
      <w:bodyDiv w:val="1"/>
      <w:marLeft w:val="0"/>
      <w:marRight w:val="0"/>
      <w:marTop w:val="0"/>
      <w:marBottom w:val="0"/>
      <w:divBdr>
        <w:top w:val="none" w:sz="0" w:space="0" w:color="auto"/>
        <w:left w:val="none" w:sz="0" w:space="0" w:color="auto"/>
        <w:bottom w:val="none" w:sz="0" w:space="0" w:color="auto"/>
        <w:right w:val="none" w:sz="0" w:space="0" w:color="auto"/>
      </w:divBdr>
    </w:div>
    <w:div w:id="1278608252">
      <w:bodyDiv w:val="1"/>
      <w:marLeft w:val="0"/>
      <w:marRight w:val="0"/>
      <w:marTop w:val="0"/>
      <w:marBottom w:val="0"/>
      <w:divBdr>
        <w:top w:val="none" w:sz="0" w:space="0" w:color="auto"/>
        <w:left w:val="none" w:sz="0" w:space="0" w:color="auto"/>
        <w:bottom w:val="none" w:sz="0" w:space="0" w:color="auto"/>
        <w:right w:val="none" w:sz="0" w:space="0" w:color="auto"/>
      </w:divBdr>
    </w:div>
    <w:div w:id="1298216925">
      <w:bodyDiv w:val="1"/>
      <w:marLeft w:val="0"/>
      <w:marRight w:val="0"/>
      <w:marTop w:val="0"/>
      <w:marBottom w:val="0"/>
      <w:divBdr>
        <w:top w:val="none" w:sz="0" w:space="0" w:color="auto"/>
        <w:left w:val="none" w:sz="0" w:space="0" w:color="auto"/>
        <w:bottom w:val="none" w:sz="0" w:space="0" w:color="auto"/>
        <w:right w:val="none" w:sz="0" w:space="0" w:color="auto"/>
      </w:divBdr>
    </w:div>
    <w:div w:id="1422489194">
      <w:bodyDiv w:val="1"/>
      <w:marLeft w:val="0"/>
      <w:marRight w:val="0"/>
      <w:marTop w:val="0"/>
      <w:marBottom w:val="0"/>
      <w:divBdr>
        <w:top w:val="none" w:sz="0" w:space="0" w:color="auto"/>
        <w:left w:val="none" w:sz="0" w:space="0" w:color="auto"/>
        <w:bottom w:val="none" w:sz="0" w:space="0" w:color="auto"/>
        <w:right w:val="none" w:sz="0" w:space="0" w:color="auto"/>
      </w:divBdr>
    </w:div>
    <w:div w:id="1479884977">
      <w:bodyDiv w:val="1"/>
      <w:marLeft w:val="0"/>
      <w:marRight w:val="0"/>
      <w:marTop w:val="0"/>
      <w:marBottom w:val="0"/>
      <w:divBdr>
        <w:top w:val="none" w:sz="0" w:space="0" w:color="auto"/>
        <w:left w:val="none" w:sz="0" w:space="0" w:color="auto"/>
        <w:bottom w:val="none" w:sz="0" w:space="0" w:color="auto"/>
        <w:right w:val="none" w:sz="0" w:space="0" w:color="auto"/>
      </w:divBdr>
      <w:divsChild>
        <w:div w:id="647825428">
          <w:marLeft w:val="0"/>
          <w:marRight w:val="0"/>
          <w:marTop w:val="0"/>
          <w:marBottom w:val="0"/>
          <w:divBdr>
            <w:top w:val="none" w:sz="0" w:space="0" w:color="auto"/>
            <w:left w:val="none" w:sz="0" w:space="0" w:color="auto"/>
            <w:bottom w:val="none" w:sz="0" w:space="0" w:color="auto"/>
            <w:right w:val="none" w:sz="0" w:space="0" w:color="auto"/>
          </w:divBdr>
        </w:div>
        <w:div w:id="53941605">
          <w:marLeft w:val="0"/>
          <w:marRight w:val="0"/>
          <w:marTop w:val="0"/>
          <w:marBottom w:val="0"/>
          <w:divBdr>
            <w:top w:val="none" w:sz="0" w:space="0" w:color="auto"/>
            <w:left w:val="none" w:sz="0" w:space="0" w:color="auto"/>
            <w:bottom w:val="none" w:sz="0" w:space="0" w:color="auto"/>
            <w:right w:val="none" w:sz="0" w:space="0" w:color="auto"/>
          </w:divBdr>
        </w:div>
        <w:div w:id="1639609435">
          <w:marLeft w:val="0"/>
          <w:marRight w:val="0"/>
          <w:marTop w:val="0"/>
          <w:marBottom w:val="0"/>
          <w:divBdr>
            <w:top w:val="none" w:sz="0" w:space="0" w:color="auto"/>
            <w:left w:val="none" w:sz="0" w:space="0" w:color="auto"/>
            <w:bottom w:val="none" w:sz="0" w:space="0" w:color="auto"/>
            <w:right w:val="none" w:sz="0" w:space="0" w:color="auto"/>
          </w:divBdr>
        </w:div>
        <w:div w:id="1764911639">
          <w:marLeft w:val="0"/>
          <w:marRight w:val="0"/>
          <w:marTop w:val="0"/>
          <w:marBottom w:val="0"/>
          <w:divBdr>
            <w:top w:val="none" w:sz="0" w:space="0" w:color="auto"/>
            <w:left w:val="none" w:sz="0" w:space="0" w:color="auto"/>
            <w:bottom w:val="none" w:sz="0" w:space="0" w:color="auto"/>
            <w:right w:val="none" w:sz="0" w:space="0" w:color="auto"/>
          </w:divBdr>
        </w:div>
        <w:div w:id="537548514">
          <w:marLeft w:val="0"/>
          <w:marRight w:val="0"/>
          <w:marTop w:val="0"/>
          <w:marBottom w:val="0"/>
          <w:divBdr>
            <w:top w:val="none" w:sz="0" w:space="0" w:color="auto"/>
            <w:left w:val="none" w:sz="0" w:space="0" w:color="auto"/>
            <w:bottom w:val="none" w:sz="0" w:space="0" w:color="auto"/>
            <w:right w:val="none" w:sz="0" w:space="0" w:color="auto"/>
          </w:divBdr>
        </w:div>
        <w:div w:id="880941025">
          <w:marLeft w:val="0"/>
          <w:marRight w:val="0"/>
          <w:marTop w:val="0"/>
          <w:marBottom w:val="0"/>
          <w:divBdr>
            <w:top w:val="none" w:sz="0" w:space="0" w:color="auto"/>
            <w:left w:val="none" w:sz="0" w:space="0" w:color="auto"/>
            <w:bottom w:val="none" w:sz="0" w:space="0" w:color="auto"/>
            <w:right w:val="none" w:sz="0" w:space="0" w:color="auto"/>
          </w:divBdr>
        </w:div>
        <w:div w:id="385225986">
          <w:marLeft w:val="0"/>
          <w:marRight w:val="0"/>
          <w:marTop w:val="0"/>
          <w:marBottom w:val="0"/>
          <w:divBdr>
            <w:top w:val="none" w:sz="0" w:space="0" w:color="auto"/>
            <w:left w:val="none" w:sz="0" w:space="0" w:color="auto"/>
            <w:bottom w:val="none" w:sz="0" w:space="0" w:color="auto"/>
            <w:right w:val="none" w:sz="0" w:space="0" w:color="auto"/>
          </w:divBdr>
        </w:div>
        <w:div w:id="1862426943">
          <w:marLeft w:val="0"/>
          <w:marRight w:val="0"/>
          <w:marTop w:val="0"/>
          <w:marBottom w:val="0"/>
          <w:divBdr>
            <w:top w:val="none" w:sz="0" w:space="0" w:color="auto"/>
            <w:left w:val="none" w:sz="0" w:space="0" w:color="auto"/>
            <w:bottom w:val="none" w:sz="0" w:space="0" w:color="auto"/>
            <w:right w:val="none" w:sz="0" w:space="0" w:color="auto"/>
          </w:divBdr>
        </w:div>
      </w:divsChild>
    </w:div>
    <w:div w:id="1523397976">
      <w:bodyDiv w:val="1"/>
      <w:marLeft w:val="0"/>
      <w:marRight w:val="0"/>
      <w:marTop w:val="0"/>
      <w:marBottom w:val="0"/>
      <w:divBdr>
        <w:top w:val="none" w:sz="0" w:space="0" w:color="auto"/>
        <w:left w:val="none" w:sz="0" w:space="0" w:color="auto"/>
        <w:bottom w:val="none" w:sz="0" w:space="0" w:color="auto"/>
        <w:right w:val="none" w:sz="0" w:space="0" w:color="auto"/>
      </w:divBdr>
    </w:div>
    <w:div w:id="1570581205">
      <w:bodyDiv w:val="1"/>
      <w:marLeft w:val="0"/>
      <w:marRight w:val="0"/>
      <w:marTop w:val="0"/>
      <w:marBottom w:val="0"/>
      <w:divBdr>
        <w:top w:val="none" w:sz="0" w:space="0" w:color="auto"/>
        <w:left w:val="none" w:sz="0" w:space="0" w:color="auto"/>
        <w:bottom w:val="none" w:sz="0" w:space="0" w:color="auto"/>
        <w:right w:val="none" w:sz="0" w:space="0" w:color="auto"/>
      </w:divBdr>
    </w:div>
    <w:div w:id="1596942919">
      <w:bodyDiv w:val="1"/>
      <w:marLeft w:val="0"/>
      <w:marRight w:val="0"/>
      <w:marTop w:val="0"/>
      <w:marBottom w:val="0"/>
      <w:divBdr>
        <w:top w:val="none" w:sz="0" w:space="0" w:color="auto"/>
        <w:left w:val="none" w:sz="0" w:space="0" w:color="auto"/>
        <w:bottom w:val="none" w:sz="0" w:space="0" w:color="auto"/>
        <w:right w:val="none" w:sz="0" w:space="0" w:color="auto"/>
      </w:divBdr>
    </w:div>
    <w:div w:id="1627665306">
      <w:bodyDiv w:val="1"/>
      <w:marLeft w:val="0"/>
      <w:marRight w:val="0"/>
      <w:marTop w:val="0"/>
      <w:marBottom w:val="0"/>
      <w:divBdr>
        <w:top w:val="none" w:sz="0" w:space="0" w:color="auto"/>
        <w:left w:val="none" w:sz="0" w:space="0" w:color="auto"/>
        <w:bottom w:val="none" w:sz="0" w:space="0" w:color="auto"/>
        <w:right w:val="none" w:sz="0" w:space="0" w:color="auto"/>
      </w:divBdr>
    </w:div>
    <w:div w:id="1657567673">
      <w:bodyDiv w:val="1"/>
      <w:marLeft w:val="0"/>
      <w:marRight w:val="0"/>
      <w:marTop w:val="0"/>
      <w:marBottom w:val="0"/>
      <w:divBdr>
        <w:top w:val="none" w:sz="0" w:space="0" w:color="auto"/>
        <w:left w:val="none" w:sz="0" w:space="0" w:color="auto"/>
        <w:bottom w:val="none" w:sz="0" w:space="0" w:color="auto"/>
        <w:right w:val="none" w:sz="0" w:space="0" w:color="auto"/>
      </w:divBdr>
    </w:div>
    <w:div w:id="1724988316">
      <w:bodyDiv w:val="1"/>
      <w:marLeft w:val="0"/>
      <w:marRight w:val="0"/>
      <w:marTop w:val="0"/>
      <w:marBottom w:val="0"/>
      <w:divBdr>
        <w:top w:val="none" w:sz="0" w:space="0" w:color="auto"/>
        <w:left w:val="none" w:sz="0" w:space="0" w:color="auto"/>
        <w:bottom w:val="none" w:sz="0" w:space="0" w:color="auto"/>
        <w:right w:val="none" w:sz="0" w:space="0" w:color="auto"/>
      </w:divBdr>
      <w:divsChild>
        <w:div w:id="917983804">
          <w:marLeft w:val="-90"/>
          <w:marRight w:val="-90"/>
          <w:marTop w:val="0"/>
          <w:marBottom w:val="0"/>
          <w:divBdr>
            <w:top w:val="none" w:sz="0" w:space="0" w:color="auto"/>
            <w:left w:val="none" w:sz="0" w:space="0" w:color="auto"/>
            <w:bottom w:val="none" w:sz="0" w:space="0" w:color="auto"/>
            <w:right w:val="none" w:sz="0" w:space="0" w:color="auto"/>
          </w:divBdr>
          <w:divsChild>
            <w:div w:id="1700928549">
              <w:marLeft w:val="0"/>
              <w:marRight w:val="0"/>
              <w:marTop w:val="0"/>
              <w:marBottom w:val="0"/>
              <w:divBdr>
                <w:top w:val="none" w:sz="0" w:space="0" w:color="auto"/>
                <w:left w:val="none" w:sz="0" w:space="0" w:color="auto"/>
                <w:bottom w:val="none" w:sz="0" w:space="0" w:color="auto"/>
                <w:right w:val="none" w:sz="0" w:space="0" w:color="auto"/>
              </w:divBdr>
            </w:div>
            <w:div w:id="1415778256">
              <w:marLeft w:val="0"/>
              <w:marRight w:val="0"/>
              <w:marTop w:val="0"/>
              <w:marBottom w:val="0"/>
              <w:divBdr>
                <w:top w:val="none" w:sz="0" w:space="0" w:color="auto"/>
                <w:left w:val="none" w:sz="0" w:space="0" w:color="auto"/>
                <w:bottom w:val="none" w:sz="0" w:space="0" w:color="auto"/>
                <w:right w:val="none" w:sz="0" w:space="0" w:color="auto"/>
              </w:divBdr>
            </w:div>
          </w:divsChild>
        </w:div>
        <w:div w:id="1202743372">
          <w:marLeft w:val="-90"/>
          <w:marRight w:val="-90"/>
          <w:marTop w:val="0"/>
          <w:marBottom w:val="0"/>
          <w:divBdr>
            <w:top w:val="none" w:sz="0" w:space="0" w:color="auto"/>
            <w:left w:val="none" w:sz="0" w:space="0" w:color="auto"/>
            <w:bottom w:val="none" w:sz="0" w:space="0" w:color="auto"/>
            <w:right w:val="none" w:sz="0" w:space="0" w:color="auto"/>
          </w:divBdr>
          <w:divsChild>
            <w:div w:id="1442844358">
              <w:marLeft w:val="0"/>
              <w:marRight w:val="0"/>
              <w:marTop w:val="0"/>
              <w:marBottom w:val="0"/>
              <w:divBdr>
                <w:top w:val="none" w:sz="0" w:space="0" w:color="auto"/>
                <w:left w:val="none" w:sz="0" w:space="0" w:color="auto"/>
                <w:bottom w:val="none" w:sz="0" w:space="0" w:color="auto"/>
                <w:right w:val="none" w:sz="0" w:space="0" w:color="auto"/>
              </w:divBdr>
            </w:div>
            <w:div w:id="993292911">
              <w:marLeft w:val="0"/>
              <w:marRight w:val="0"/>
              <w:marTop w:val="0"/>
              <w:marBottom w:val="0"/>
              <w:divBdr>
                <w:top w:val="none" w:sz="0" w:space="0" w:color="auto"/>
                <w:left w:val="none" w:sz="0" w:space="0" w:color="auto"/>
                <w:bottom w:val="none" w:sz="0" w:space="0" w:color="auto"/>
                <w:right w:val="none" w:sz="0" w:space="0" w:color="auto"/>
              </w:divBdr>
            </w:div>
          </w:divsChild>
        </w:div>
        <w:div w:id="342171856">
          <w:marLeft w:val="-90"/>
          <w:marRight w:val="-90"/>
          <w:marTop w:val="0"/>
          <w:marBottom w:val="0"/>
          <w:divBdr>
            <w:top w:val="none" w:sz="0" w:space="0" w:color="auto"/>
            <w:left w:val="none" w:sz="0" w:space="0" w:color="auto"/>
            <w:bottom w:val="none" w:sz="0" w:space="0" w:color="auto"/>
            <w:right w:val="none" w:sz="0" w:space="0" w:color="auto"/>
          </w:divBdr>
          <w:divsChild>
            <w:div w:id="1353802008">
              <w:marLeft w:val="0"/>
              <w:marRight w:val="0"/>
              <w:marTop w:val="0"/>
              <w:marBottom w:val="0"/>
              <w:divBdr>
                <w:top w:val="none" w:sz="0" w:space="0" w:color="auto"/>
                <w:left w:val="none" w:sz="0" w:space="0" w:color="auto"/>
                <w:bottom w:val="none" w:sz="0" w:space="0" w:color="auto"/>
                <w:right w:val="none" w:sz="0" w:space="0" w:color="auto"/>
              </w:divBdr>
            </w:div>
            <w:div w:id="2042435146">
              <w:marLeft w:val="0"/>
              <w:marRight w:val="0"/>
              <w:marTop w:val="0"/>
              <w:marBottom w:val="0"/>
              <w:divBdr>
                <w:top w:val="none" w:sz="0" w:space="0" w:color="auto"/>
                <w:left w:val="none" w:sz="0" w:space="0" w:color="auto"/>
                <w:bottom w:val="none" w:sz="0" w:space="0" w:color="auto"/>
                <w:right w:val="none" w:sz="0" w:space="0" w:color="auto"/>
              </w:divBdr>
            </w:div>
          </w:divsChild>
        </w:div>
        <w:div w:id="700670809">
          <w:marLeft w:val="-90"/>
          <w:marRight w:val="-90"/>
          <w:marTop w:val="0"/>
          <w:marBottom w:val="0"/>
          <w:divBdr>
            <w:top w:val="none" w:sz="0" w:space="0" w:color="auto"/>
            <w:left w:val="none" w:sz="0" w:space="0" w:color="auto"/>
            <w:bottom w:val="none" w:sz="0" w:space="0" w:color="auto"/>
            <w:right w:val="none" w:sz="0" w:space="0" w:color="auto"/>
          </w:divBdr>
          <w:divsChild>
            <w:div w:id="1709912459">
              <w:marLeft w:val="0"/>
              <w:marRight w:val="0"/>
              <w:marTop w:val="0"/>
              <w:marBottom w:val="0"/>
              <w:divBdr>
                <w:top w:val="none" w:sz="0" w:space="0" w:color="auto"/>
                <w:left w:val="none" w:sz="0" w:space="0" w:color="auto"/>
                <w:bottom w:val="none" w:sz="0" w:space="0" w:color="auto"/>
                <w:right w:val="none" w:sz="0" w:space="0" w:color="auto"/>
              </w:divBdr>
            </w:div>
            <w:div w:id="1025442223">
              <w:marLeft w:val="0"/>
              <w:marRight w:val="0"/>
              <w:marTop w:val="0"/>
              <w:marBottom w:val="0"/>
              <w:divBdr>
                <w:top w:val="none" w:sz="0" w:space="0" w:color="auto"/>
                <w:left w:val="none" w:sz="0" w:space="0" w:color="auto"/>
                <w:bottom w:val="none" w:sz="0" w:space="0" w:color="auto"/>
                <w:right w:val="none" w:sz="0" w:space="0" w:color="auto"/>
              </w:divBdr>
            </w:div>
          </w:divsChild>
        </w:div>
        <w:div w:id="864365959">
          <w:marLeft w:val="-90"/>
          <w:marRight w:val="-90"/>
          <w:marTop w:val="0"/>
          <w:marBottom w:val="0"/>
          <w:divBdr>
            <w:top w:val="none" w:sz="0" w:space="0" w:color="auto"/>
            <w:left w:val="none" w:sz="0" w:space="0" w:color="auto"/>
            <w:bottom w:val="none" w:sz="0" w:space="0" w:color="auto"/>
            <w:right w:val="none" w:sz="0" w:space="0" w:color="auto"/>
          </w:divBdr>
          <w:divsChild>
            <w:div w:id="1674799085">
              <w:marLeft w:val="0"/>
              <w:marRight w:val="0"/>
              <w:marTop w:val="0"/>
              <w:marBottom w:val="0"/>
              <w:divBdr>
                <w:top w:val="none" w:sz="0" w:space="0" w:color="auto"/>
                <w:left w:val="none" w:sz="0" w:space="0" w:color="auto"/>
                <w:bottom w:val="none" w:sz="0" w:space="0" w:color="auto"/>
                <w:right w:val="none" w:sz="0" w:space="0" w:color="auto"/>
              </w:divBdr>
            </w:div>
            <w:div w:id="485512726">
              <w:marLeft w:val="0"/>
              <w:marRight w:val="0"/>
              <w:marTop w:val="0"/>
              <w:marBottom w:val="0"/>
              <w:divBdr>
                <w:top w:val="none" w:sz="0" w:space="0" w:color="auto"/>
                <w:left w:val="none" w:sz="0" w:space="0" w:color="auto"/>
                <w:bottom w:val="none" w:sz="0" w:space="0" w:color="auto"/>
                <w:right w:val="none" w:sz="0" w:space="0" w:color="auto"/>
              </w:divBdr>
            </w:div>
          </w:divsChild>
        </w:div>
        <w:div w:id="1782189538">
          <w:marLeft w:val="-90"/>
          <w:marRight w:val="-90"/>
          <w:marTop w:val="0"/>
          <w:marBottom w:val="0"/>
          <w:divBdr>
            <w:top w:val="none" w:sz="0" w:space="0" w:color="auto"/>
            <w:left w:val="none" w:sz="0" w:space="0" w:color="auto"/>
            <w:bottom w:val="none" w:sz="0" w:space="0" w:color="auto"/>
            <w:right w:val="none" w:sz="0" w:space="0" w:color="auto"/>
          </w:divBdr>
          <w:divsChild>
            <w:div w:id="395786265">
              <w:marLeft w:val="0"/>
              <w:marRight w:val="0"/>
              <w:marTop w:val="0"/>
              <w:marBottom w:val="0"/>
              <w:divBdr>
                <w:top w:val="none" w:sz="0" w:space="0" w:color="auto"/>
                <w:left w:val="none" w:sz="0" w:space="0" w:color="auto"/>
                <w:bottom w:val="none" w:sz="0" w:space="0" w:color="auto"/>
                <w:right w:val="none" w:sz="0" w:space="0" w:color="auto"/>
              </w:divBdr>
            </w:div>
            <w:div w:id="717778708">
              <w:marLeft w:val="0"/>
              <w:marRight w:val="0"/>
              <w:marTop w:val="0"/>
              <w:marBottom w:val="0"/>
              <w:divBdr>
                <w:top w:val="none" w:sz="0" w:space="0" w:color="auto"/>
                <w:left w:val="none" w:sz="0" w:space="0" w:color="auto"/>
                <w:bottom w:val="none" w:sz="0" w:space="0" w:color="auto"/>
                <w:right w:val="none" w:sz="0" w:space="0" w:color="auto"/>
              </w:divBdr>
            </w:div>
          </w:divsChild>
        </w:div>
        <w:div w:id="1070691042">
          <w:marLeft w:val="-90"/>
          <w:marRight w:val="-90"/>
          <w:marTop w:val="0"/>
          <w:marBottom w:val="0"/>
          <w:divBdr>
            <w:top w:val="none" w:sz="0" w:space="0" w:color="auto"/>
            <w:left w:val="none" w:sz="0" w:space="0" w:color="auto"/>
            <w:bottom w:val="none" w:sz="0" w:space="0" w:color="auto"/>
            <w:right w:val="none" w:sz="0" w:space="0" w:color="auto"/>
          </w:divBdr>
          <w:divsChild>
            <w:div w:id="765148556">
              <w:marLeft w:val="0"/>
              <w:marRight w:val="0"/>
              <w:marTop w:val="0"/>
              <w:marBottom w:val="0"/>
              <w:divBdr>
                <w:top w:val="none" w:sz="0" w:space="0" w:color="auto"/>
                <w:left w:val="none" w:sz="0" w:space="0" w:color="auto"/>
                <w:bottom w:val="none" w:sz="0" w:space="0" w:color="auto"/>
                <w:right w:val="none" w:sz="0" w:space="0" w:color="auto"/>
              </w:divBdr>
            </w:div>
            <w:div w:id="806439789">
              <w:marLeft w:val="0"/>
              <w:marRight w:val="0"/>
              <w:marTop w:val="0"/>
              <w:marBottom w:val="0"/>
              <w:divBdr>
                <w:top w:val="none" w:sz="0" w:space="0" w:color="auto"/>
                <w:left w:val="none" w:sz="0" w:space="0" w:color="auto"/>
                <w:bottom w:val="none" w:sz="0" w:space="0" w:color="auto"/>
                <w:right w:val="none" w:sz="0" w:space="0" w:color="auto"/>
              </w:divBdr>
            </w:div>
          </w:divsChild>
        </w:div>
        <w:div w:id="435565221">
          <w:marLeft w:val="-90"/>
          <w:marRight w:val="-90"/>
          <w:marTop w:val="0"/>
          <w:marBottom w:val="0"/>
          <w:divBdr>
            <w:top w:val="none" w:sz="0" w:space="0" w:color="auto"/>
            <w:left w:val="none" w:sz="0" w:space="0" w:color="auto"/>
            <w:bottom w:val="none" w:sz="0" w:space="0" w:color="auto"/>
            <w:right w:val="none" w:sz="0" w:space="0" w:color="auto"/>
          </w:divBdr>
          <w:divsChild>
            <w:div w:id="1839029640">
              <w:marLeft w:val="0"/>
              <w:marRight w:val="0"/>
              <w:marTop w:val="0"/>
              <w:marBottom w:val="0"/>
              <w:divBdr>
                <w:top w:val="none" w:sz="0" w:space="0" w:color="auto"/>
                <w:left w:val="none" w:sz="0" w:space="0" w:color="auto"/>
                <w:bottom w:val="none" w:sz="0" w:space="0" w:color="auto"/>
                <w:right w:val="none" w:sz="0" w:space="0" w:color="auto"/>
              </w:divBdr>
            </w:div>
            <w:div w:id="1630284567">
              <w:marLeft w:val="0"/>
              <w:marRight w:val="0"/>
              <w:marTop w:val="0"/>
              <w:marBottom w:val="0"/>
              <w:divBdr>
                <w:top w:val="none" w:sz="0" w:space="0" w:color="auto"/>
                <w:left w:val="none" w:sz="0" w:space="0" w:color="auto"/>
                <w:bottom w:val="none" w:sz="0" w:space="0" w:color="auto"/>
                <w:right w:val="none" w:sz="0" w:space="0" w:color="auto"/>
              </w:divBdr>
            </w:div>
          </w:divsChild>
        </w:div>
        <w:div w:id="2000578685">
          <w:marLeft w:val="-90"/>
          <w:marRight w:val="-90"/>
          <w:marTop w:val="0"/>
          <w:marBottom w:val="0"/>
          <w:divBdr>
            <w:top w:val="none" w:sz="0" w:space="0" w:color="auto"/>
            <w:left w:val="none" w:sz="0" w:space="0" w:color="auto"/>
            <w:bottom w:val="none" w:sz="0" w:space="0" w:color="auto"/>
            <w:right w:val="none" w:sz="0" w:space="0" w:color="auto"/>
          </w:divBdr>
          <w:divsChild>
            <w:div w:id="200552753">
              <w:marLeft w:val="0"/>
              <w:marRight w:val="0"/>
              <w:marTop w:val="0"/>
              <w:marBottom w:val="0"/>
              <w:divBdr>
                <w:top w:val="none" w:sz="0" w:space="0" w:color="auto"/>
                <w:left w:val="none" w:sz="0" w:space="0" w:color="auto"/>
                <w:bottom w:val="none" w:sz="0" w:space="0" w:color="auto"/>
                <w:right w:val="none" w:sz="0" w:space="0" w:color="auto"/>
              </w:divBdr>
            </w:div>
            <w:div w:id="728847179">
              <w:marLeft w:val="0"/>
              <w:marRight w:val="0"/>
              <w:marTop w:val="0"/>
              <w:marBottom w:val="0"/>
              <w:divBdr>
                <w:top w:val="none" w:sz="0" w:space="0" w:color="auto"/>
                <w:left w:val="none" w:sz="0" w:space="0" w:color="auto"/>
                <w:bottom w:val="none" w:sz="0" w:space="0" w:color="auto"/>
                <w:right w:val="none" w:sz="0" w:space="0" w:color="auto"/>
              </w:divBdr>
            </w:div>
          </w:divsChild>
        </w:div>
        <w:div w:id="72163922">
          <w:marLeft w:val="-90"/>
          <w:marRight w:val="-90"/>
          <w:marTop w:val="0"/>
          <w:marBottom w:val="0"/>
          <w:divBdr>
            <w:top w:val="none" w:sz="0" w:space="0" w:color="auto"/>
            <w:left w:val="none" w:sz="0" w:space="0" w:color="auto"/>
            <w:bottom w:val="none" w:sz="0" w:space="0" w:color="auto"/>
            <w:right w:val="none" w:sz="0" w:space="0" w:color="auto"/>
          </w:divBdr>
          <w:divsChild>
            <w:div w:id="433668905">
              <w:marLeft w:val="0"/>
              <w:marRight w:val="0"/>
              <w:marTop w:val="0"/>
              <w:marBottom w:val="0"/>
              <w:divBdr>
                <w:top w:val="none" w:sz="0" w:space="0" w:color="auto"/>
                <w:left w:val="none" w:sz="0" w:space="0" w:color="auto"/>
                <w:bottom w:val="none" w:sz="0" w:space="0" w:color="auto"/>
                <w:right w:val="none" w:sz="0" w:space="0" w:color="auto"/>
              </w:divBdr>
            </w:div>
            <w:div w:id="623660454">
              <w:marLeft w:val="0"/>
              <w:marRight w:val="0"/>
              <w:marTop w:val="0"/>
              <w:marBottom w:val="0"/>
              <w:divBdr>
                <w:top w:val="none" w:sz="0" w:space="0" w:color="auto"/>
                <w:left w:val="none" w:sz="0" w:space="0" w:color="auto"/>
                <w:bottom w:val="none" w:sz="0" w:space="0" w:color="auto"/>
                <w:right w:val="none" w:sz="0" w:space="0" w:color="auto"/>
              </w:divBdr>
            </w:div>
          </w:divsChild>
        </w:div>
        <w:div w:id="1039092683">
          <w:marLeft w:val="-90"/>
          <w:marRight w:val="-90"/>
          <w:marTop w:val="0"/>
          <w:marBottom w:val="0"/>
          <w:divBdr>
            <w:top w:val="none" w:sz="0" w:space="0" w:color="auto"/>
            <w:left w:val="none" w:sz="0" w:space="0" w:color="auto"/>
            <w:bottom w:val="none" w:sz="0" w:space="0" w:color="auto"/>
            <w:right w:val="none" w:sz="0" w:space="0" w:color="auto"/>
          </w:divBdr>
          <w:divsChild>
            <w:div w:id="1171211919">
              <w:marLeft w:val="0"/>
              <w:marRight w:val="0"/>
              <w:marTop w:val="0"/>
              <w:marBottom w:val="0"/>
              <w:divBdr>
                <w:top w:val="none" w:sz="0" w:space="0" w:color="auto"/>
                <w:left w:val="none" w:sz="0" w:space="0" w:color="auto"/>
                <w:bottom w:val="none" w:sz="0" w:space="0" w:color="auto"/>
                <w:right w:val="none" w:sz="0" w:space="0" w:color="auto"/>
              </w:divBdr>
            </w:div>
            <w:div w:id="1821731469">
              <w:marLeft w:val="0"/>
              <w:marRight w:val="0"/>
              <w:marTop w:val="0"/>
              <w:marBottom w:val="0"/>
              <w:divBdr>
                <w:top w:val="none" w:sz="0" w:space="0" w:color="auto"/>
                <w:left w:val="none" w:sz="0" w:space="0" w:color="auto"/>
                <w:bottom w:val="none" w:sz="0" w:space="0" w:color="auto"/>
                <w:right w:val="none" w:sz="0" w:space="0" w:color="auto"/>
              </w:divBdr>
            </w:div>
          </w:divsChild>
        </w:div>
        <w:div w:id="777217049">
          <w:marLeft w:val="-90"/>
          <w:marRight w:val="-90"/>
          <w:marTop w:val="0"/>
          <w:marBottom w:val="0"/>
          <w:divBdr>
            <w:top w:val="none" w:sz="0" w:space="0" w:color="auto"/>
            <w:left w:val="none" w:sz="0" w:space="0" w:color="auto"/>
            <w:bottom w:val="none" w:sz="0" w:space="0" w:color="auto"/>
            <w:right w:val="none" w:sz="0" w:space="0" w:color="auto"/>
          </w:divBdr>
          <w:divsChild>
            <w:div w:id="1044602263">
              <w:marLeft w:val="0"/>
              <w:marRight w:val="0"/>
              <w:marTop w:val="0"/>
              <w:marBottom w:val="0"/>
              <w:divBdr>
                <w:top w:val="none" w:sz="0" w:space="0" w:color="auto"/>
                <w:left w:val="none" w:sz="0" w:space="0" w:color="auto"/>
                <w:bottom w:val="none" w:sz="0" w:space="0" w:color="auto"/>
                <w:right w:val="none" w:sz="0" w:space="0" w:color="auto"/>
              </w:divBdr>
            </w:div>
            <w:div w:id="114062232">
              <w:marLeft w:val="0"/>
              <w:marRight w:val="0"/>
              <w:marTop w:val="0"/>
              <w:marBottom w:val="0"/>
              <w:divBdr>
                <w:top w:val="none" w:sz="0" w:space="0" w:color="auto"/>
                <w:left w:val="none" w:sz="0" w:space="0" w:color="auto"/>
                <w:bottom w:val="none" w:sz="0" w:space="0" w:color="auto"/>
                <w:right w:val="none" w:sz="0" w:space="0" w:color="auto"/>
              </w:divBdr>
            </w:div>
          </w:divsChild>
        </w:div>
        <w:div w:id="144008716">
          <w:marLeft w:val="-90"/>
          <w:marRight w:val="-90"/>
          <w:marTop w:val="0"/>
          <w:marBottom w:val="0"/>
          <w:divBdr>
            <w:top w:val="none" w:sz="0" w:space="0" w:color="auto"/>
            <w:left w:val="none" w:sz="0" w:space="0" w:color="auto"/>
            <w:bottom w:val="none" w:sz="0" w:space="0" w:color="auto"/>
            <w:right w:val="none" w:sz="0" w:space="0" w:color="auto"/>
          </w:divBdr>
          <w:divsChild>
            <w:div w:id="1002586200">
              <w:marLeft w:val="0"/>
              <w:marRight w:val="0"/>
              <w:marTop w:val="0"/>
              <w:marBottom w:val="0"/>
              <w:divBdr>
                <w:top w:val="none" w:sz="0" w:space="0" w:color="auto"/>
                <w:left w:val="none" w:sz="0" w:space="0" w:color="auto"/>
                <w:bottom w:val="none" w:sz="0" w:space="0" w:color="auto"/>
                <w:right w:val="none" w:sz="0" w:space="0" w:color="auto"/>
              </w:divBdr>
            </w:div>
            <w:div w:id="2077973164">
              <w:marLeft w:val="0"/>
              <w:marRight w:val="0"/>
              <w:marTop w:val="0"/>
              <w:marBottom w:val="0"/>
              <w:divBdr>
                <w:top w:val="none" w:sz="0" w:space="0" w:color="auto"/>
                <w:left w:val="none" w:sz="0" w:space="0" w:color="auto"/>
                <w:bottom w:val="none" w:sz="0" w:space="0" w:color="auto"/>
                <w:right w:val="none" w:sz="0" w:space="0" w:color="auto"/>
              </w:divBdr>
            </w:div>
          </w:divsChild>
        </w:div>
        <w:div w:id="1318996508">
          <w:marLeft w:val="-90"/>
          <w:marRight w:val="-90"/>
          <w:marTop w:val="0"/>
          <w:marBottom w:val="0"/>
          <w:divBdr>
            <w:top w:val="none" w:sz="0" w:space="0" w:color="auto"/>
            <w:left w:val="none" w:sz="0" w:space="0" w:color="auto"/>
            <w:bottom w:val="none" w:sz="0" w:space="0" w:color="auto"/>
            <w:right w:val="none" w:sz="0" w:space="0" w:color="auto"/>
          </w:divBdr>
          <w:divsChild>
            <w:div w:id="1895657564">
              <w:marLeft w:val="0"/>
              <w:marRight w:val="0"/>
              <w:marTop w:val="0"/>
              <w:marBottom w:val="0"/>
              <w:divBdr>
                <w:top w:val="none" w:sz="0" w:space="0" w:color="auto"/>
                <w:left w:val="none" w:sz="0" w:space="0" w:color="auto"/>
                <w:bottom w:val="none" w:sz="0" w:space="0" w:color="auto"/>
                <w:right w:val="none" w:sz="0" w:space="0" w:color="auto"/>
              </w:divBdr>
            </w:div>
            <w:div w:id="837185559">
              <w:marLeft w:val="0"/>
              <w:marRight w:val="0"/>
              <w:marTop w:val="0"/>
              <w:marBottom w:val="0"/>
              <w:divBdr>
                <w:top w:val="none" w:sz="0" w:space="0" w:color="auto"/>
                <w:left w:val="none" w:sz="0" w:space="0" w:color="auto"/>
                <w:bottom w:val="none" w:sz="0" w:space="0" w:color="auto"/>
                <w:right w:val="none" w:sz="0" w:space="0" w:color="auto"/>
              </w:divBdr>
            </w:div>
          </w:divsChild>
        </w:div>
        <w:div w:id="108790347">
          <w:marLeft w:val="-90"/>
          <w:marRight w:val="-90"/>
          <w:marTop w:val="0"/>
          <w:marBottom w:val="0"/>
          <w:divBdr>
            <w:top w:val="none" w:sz="0" w:space="0" w:color="auto"/>
            <w:left w:val="none" w:sz="0" w:space="0" w:color="auto"/>
            <w:bottom w:val="none" w:sz="0" w:space="0" w:color="auto"/>
            <w:right w:val="none" w:sz="0" w:space="0" w:color="auto"/>
          </w:divBdr>
          <w:divsChild>
            <w:div w:id="1138954919">
              <w:marLeft w:val="0"/>
              <w:marRight w:val="0"/>
              <w:marTop w:val="0"/>
              <w:marBottom w:val="0"/>
              <w:divBdr>
                <w:top w:val="none" w:sz="0" w:space="0" w:color="auto"/>
                <w:left w:val="none" w:sz="0" w:space="0" w:color="auto"/>
                <w:bottom w:val="none" w:sz="0" w:space="0" w:color="auto"/>
                <w:right w:val="none" w:sz="0" w:space="0" w:color="auto"/>
              </w:divBdr>
            </w:div>
            <w:div w:id="705639234">
              <w:marLeft w:val="0"/>
              <w:marRight w:val="0"/>
              <w:marTop w:val="0"/>
              <w:marBottom w:val="0"/>
              <w:divBdr>
                <w:top w:val="none" w:sz="0" w:space="0" w:color="auto"/>
                <w:left w:val="none" w:sz="0" w:space="0" w:color="auto"/>
                <w:bottom w:val="none" w:sz="0" w:space="0" w:color="auto"/>
                <w:right w:val="none" w:sz="0" w:space="0" w:color="auto"/>
              </w:divBdr>
            </w:div>
          </w:divsChild>
        </w:div>
        <w:div w:id="1716931577">
          <w:marLeft w:val="-90"/>
          <w:marRight w:val="-90"/>
          <w:marTop w:val="0"/>
          <w:marBottom w:val="0"/>
          <w:divBdr>
            <w:top w:val="none" w:sz="0" w:space="0" w:color="auto"/>
            <w:left w:val="none" w:sz="0" w:space="0" w:color="auto"/>
            <w:bottom w:val="none" w:sz="0" w:space="0" w:color="auto"/>
            <w:right w:val="none" w:sz="0" w:space="0" w:color="auto"/>
          </w:divBdr>
          <w:divsChild>
            <w:div w:id="93289246">
              <w:marLeft w:val="0"/>
              <w:marRight w:val="0"/>
              <w:marTop w:val="0"/>
              <w:marBottom w:val="0"/>
              <w:divBdr>
                <w:top w:val="none" w:sz="0" w:space="0" w:color="auto"/>
                <w:left w:val="none" w:sz="0" w:space="0" w:color="auto"/>
                <w:bottom w:val="none" w:sz="0" w:space="0" w:color="auto"/>
                <w:right w:val="none" w:sz="0" w:space="0" w:color="auto"/>
              </w:divBdr>
            </w:div>
            <w:div w:id="1203638206">
              <w:marLeft w:val="0"/>
              <w:marRight w:val="0"/>
              <w:marTop w:val="0"/>
              <w:marBottom w:val="0"/>
              <w:divBdr>
                <w:top w:val="none" w:sz="0" w:space="0" w:color="auto"/>
                <w:left w:val="none" w:sz="0" w:space="0" w:color="auto"/>
                <w:bottom w:val="none" w:sz="0" w:space="0" w:color="auto"/>
                <w:right w:val="none" w:sz="0" w:space="0" w:color="auto"/>
              </w:divBdr>
            </w:div>
          </w:divsChild>
        </w:div>
        <w:div w:id="69893206">
          <w:marLeft w:val="-90"/>
          <w:marRight w:val="-90"/>
          <w:marTop w:val="0"/>
          <w:marBottom w:val="0"/>
          <w:divBdr>
            <w:top w:val="none" w:sz="0" w:space="0" w:color="auto"/>
            <w:left w:val="none" w:sz="0" w:space="0" w:color="auto"/>
            <w:bottom w:val="none" w:sz="0" w:space="0" w:color="auto"/>
            <w:right w:val="none" w:sz="0" w:space="0" w:color="auto"/>
          </w:divBdr>
          <w:divsChild>
            <w:div w:id="513419043">
              <w:marLeft w:val="0"/>
              <w:marRight w:val="0"/>
              <w:marTop w:val="0"/>
              <w:marBottom w:val="0"/>
              <w:divBdr>
                <w:top w:val="none" w:sz="0" w:space="0" w:color="auto"/>
                <w:left w:val="none" w:sz="0" w:space="0" w:color="auto"/>
                <w:bottom w:val="none" w:sz="0" w:space="0" w:color="auto"/>
                <w:right w:val="none" w:sz="0" w:space="0" w:color="auto"/>
              </w:divBdr>
            </w:div>
            <w:div w:id="2069960425">
              <w:marLeft w:val="0"/>
              <w:marRight w:val="0"/>
              <w:marTop w:val="0"/>
              <w:marBottom w:val="0"/>
              <w:divBdr>
                <w:top w:val="none" w:sz="0" w:space="0" w:color="auto"/>
                <w:left w:val="none" w:sz="0" w:space="0" w:color="auto"/>
                <w:bottom w:val="none" w:sz="0" w:space="0" w:color="auto"/>
                <w:right w:val="none" w:sz="0" w:space="0" w:color="auto"/>
              </w:divBdr>
            </w:div>
          </w:divsChild>
        </w:div>
        <w:div w:id="819808362">
          <w:marLeft w:val="-90"/>
          <w:marRight w:val="-90"/>
          <w:marTop w:val="0"/>
          <w:marBottom w:val="0"/>
          <w:divBdr>
            <w:top w:val="none" w:sz="0" w:space="0" w:color="auto"/>
            <w:left w:val="none" w:sz="0" w:space="0" w:color="auto"/>
            <w:bottom w:val="none" w:sz="0" w:space="0" w:color="auto"/>
            <w:right w:val="none" w:sz="0" w:space="0" w:color="auto"/>
          </w:divBdr>
          <w:divsChild>
            <w:div w:id="470292592">
              <w:marLeft w:val="0"/>
              <w:marRight w:val="0"/>
              <w:marTop w:val="0"/>
              <w:marBottom w:val="0"/>
              <w:divBdr>
                <w:top w:val="none" w:sz="0" w:space="0" w:color="auto"/>
                <w:left w:val="none" w:sz="0" w:space="0" w:color="auto"/>
                <w:bottom w:val="none" w:sz="0" w:space="0" w:color="auto"/>
                <w:right w:val="none" w:sz="0" w:space="0" w:color="auto"/>
              </w:divBdr>
            </w:div>
            <w:div w:id="302587707">
              <w:marLeft w:val="0"/>
              <w:marRight w:val="0"/>
              <w:marTop w:val="0"/>
              <w:marBottom w:val="0"/>
              <w:divBdr>
                <w:top w:val="none" w:sz="0" w:space="0" w:color="auto"/>
                <w:left w:val="none" w:sz="0" w:space="0" w:color="auto"/>
                <w:bottom w:val="none" w:sz="0" w:space="0" w:color="auto"/>
                <w:right w:val="none" w:sz="0" w:space="0" w:color="auto"/>
              </w:divBdr>
            </w:div>
          </w:divsChild>
        </w:div>
        <w:div w:id="1909074497">
          <w:marLeft w:val="-90"/>
          <w:marRight w:val="-90"/>
          <w:marTop w:val="0"/>
          <w:marBottom w:val="0"/>
          <w:divBdr>
            <w:top w:val="none" w:sz="0" w:space="0" w:color="auto"/>
            <w:left w:val="none" w:sz="0" w:space="0" w:color="auto"/>
            <w:bottom w:val="none" w:sz="0" w:space="0" w:color="auto"/>
            <w:right w:val="none" w:sz="0" w:space="0" w:color="auto"/>
          </w:divBdr>
          <w:divsChild>
            <w:div w:id="753741521">
              <w:marLeft w:val="0"/>
              <w:marRight w:val="0"/>
              <w:marTop w:val="0"/>
              <w:marBottom w:val="0"/>
              <w:divBdr>
                <w:top w:val="none" w:sz="0" w:space="0" w:color="auto"/>
                <w:left w:val="none" w:sz="0" w:space="0" w:color="auto"/>
                <w:bottom w:val="none" w:sz="0" w:space="0" w:color="auto"/>
                <w:right w:val="none" w:sz="0" w:space="0" w:color="auto"/>
              </w:divBdr>
            </w:div>
            <w:div w:id="185171703">
              <w:marLeft w:val="0"/>
              <w:marRight w:val="0"/>
              <w:marTop w:val="0"/>
              <w:marBottom w:val="0"/>
              <w:divBdr>
                <w:top w:val="none" w:sz="0" w:space="0" w:color="auto"/>
                <w:left w:val="none" w:sz="0" w:space="0" w:color="auto"/>
                <w:bottom w:val="none" w:sz="0" w:space="0" w:color="auto"/>
                <w:right w:val="none" w:sz="0" w:space="0" w:color="auto"/>
              </w:divBdr>
            </w:div>
          </w:divsChild>
        </w:div>
        <w:div w:id="1939603665">
          <w:marLeft w:val="-90"/>
          <w:marRight w:val="-90"/>
          <w:marTop w:val="0"/>
          <w:marBottom w:val="0"/>
          <w:divBdr>
            <w:top w:val="none" w:sz="0" w:space="0" w:color="auto"/>
            <w:left w:val="none" w:sz="0" w:space="0" w:color="auto"/>
            <w:bottom w:val="none" w:sz="0" w:space="0" w:color="auto"/>
            <w:right w:val="none" w:sz="0" w:space="0" w:color="auto"/>
          </w:divBdr>
          <w:divsChild>
            <w:div w:id="245966644">
              <w:marLeft w:val="0"/>
              <w:marRight w:val="0"/>
              <w:marTop w:val="0"/>
              <w:marBottom w:val="0"/>
              <w:divBdr>
                <w:top w:val="none" w:sz="0" w:space="0" w:color="auto"/>
                <w:left w:val="none" w:sz="0" w:space="0" w:color="auto"/>
                <w:bottom w:val="none" w:sz="0" w:space="0" w:color="auto"/>
                <w:right w:val="none" w:sz="0" w:space="0" w:color="auto"/>
              </w:divBdr>
            </w:div>
            <w:div w:id="305278405">
              <w:marLeft w:val="0"/>
              <w:marRight w:val="0"/>
              <w:marTop w:val="0"/>
              <w:marBottom w:val="0"/>
              <w:divBdr>
                <w:top w:val="none" w:sz="0" w:space="0" w:color="auto"/>
                <w:left w:val="none" w:sz="0" w:space="0" w:color="auto"/>
                <w:bottom w:val="none" w:sz="0" w:space="0" w:color="auto"/>
                <w:right w:val="none" w:sz="0" w:space="0" w:color="auto"/>
              </w:divBdr>
            </w:div>
          </w:divsChild>
        </w:div>
        <w:div w:id="1674527818">
          <w:marLeft w:val="-90"/>
          <w:marRight w:val="-90"/>
          <w:marTop w:val="0"/>
          <w:marBottom w:val="0"/>
          <w:divBdr>
            <w:top w:val="none" w:sz="0" w:space="0" w:color="auto"/>
            <w:left w:val="none" w:sz="0" w:space="0" w:color="auto"/>
            <w:bottom w:val="none" w:sz="0" w:space="0" w:color="auto"/>
            <w:right w:val="none" w:sz="0" w:space="0" w:color="auto"/>
          </w:divBdr>
          <w:divsChild>
            <w:div w:id="1763915752">
              <w:marLeft w:val="0"/>
              <w:marRight w:val="0"/>
              <w:marTop w:val="0"/>
              <w:marBottom w:val="0"/>
              <w:divBdr>
                <w:top w:val="none" w:sz="0" w:space="0" w:color="auto"/>
                <w:left w:val="none" w:sz="0" w:space="0" w:color="auto"/>
                <w:bottom w:val="none" w:sz="0" w:space="0" w:color="auto"/>
                <w:right w:val="none" w:sz="0" w:space="0" w:color="auto"/>
              </w:divBdr>
            </w:div>
            <w:div w:id="1319531968">
              <w:marLeft w:val="0"/>
              <w:marRight w:val="0"/>
              <w:marTop w:val="0"/>
              <w:marBottom w:val="0"/>
              <w:divBdr>
                <w:top w:val="none" w:sz="0" w:space="0" w:color="auto"/>
                <w:left w:val="none" w:sz="0" w:space="0" w:color="auto"/>
                <w:bottom w:val="none" w:sz="0" w:space="0" w:color="auto"/>
                <w:right w:val="none" w:sz="0" w:space="0" w:color="auto"/>
              </w:divBdr>
            </w:div>
          </w:divsChild>
        </w:div>
        <w:div w:id="1658413410">
          <w:marLeft w:val="-90"/>
          <w:marRight w:val="-90"/>
          <w:marTop w:val="0"/>
          <w:marBottom w:val="0"/>
          <w:divBdr>
            <w:top w:val="none" w:sz="0" w:space="0" w:color="auto"/>
            <w:left w:val="none" w:sz="0" w:space="0" w:color="auto"/>
            <w:bottom w:val="none" w:sz="0" w:space="0" w:color="auto"/>
            <w:right w:val="none" w:sz="0" w:space="0" w:color="auto"/>
          </w:divBdr>
          <w:divsChild>
            <w:div w:id="1581334813">
              <w:marLeft w:val="0"/>
              <w:marRight w:val="0"/>
              <w:marTop w:val="0"/>
              <w:marBottom w:val="0"/>
              <w:divBdr>
                <w:top w:val="none" w:sz="0" w:space="0" w:color="auto"/>
                <w:left w:val="none" w:sz="0" w:space="0" w:color="auto"/>
                <w:bottom w:val="none" w:sz="0" w:space="0" w:color="auto"/>
                <w:right w:val="none" w:sz="0" w:space="0" w:color="auto"/>
              </w:divBdr>
            </w:div>
            <w:div w:id="313684676">
              <w:marLeft w:val="0"/>
              <w:marRight w:val="0"/>
              <w:marTop w:val="0"/>
              <w:marBottom w:val="0"/>
              <w:divBdr>
                <w:top w:val="none" w:sz="0" w:space="0" w:color="auto"/>
                <w:left w:val="none" w:sz="0" w:space="0" w:color="auto"/>
                <w:bottom w:val="none" w:sz="0" w:space="0" w:color="auto"/>
                <w:right w:val="none" w:sz="0" w:space="0" w:color="auto"/>
              </w:divBdr>
            </w:div>
          </w:divsChild>
        </w:div>
        <w:div w:id="1603294334">
          <w:marLeft w:val="-90"/>
          <w:marRight w:val="-90"/>
          <w:marTop w:val="0"/>
          <w:marBottom w:val="0"/>
          <w:divBdr>
            <w:top w:val="none" w:sz="0" w:space="0" w:color="auto"/>
            <w:left w:val="none" w:sz="0" w:space="0" w:color="auto"/>
            <w:bottom w:val="none" w:sz="0" w:space="0" w:color="auto"/>
            <w:right w:val="none" w:sz="0" w:space="0" w:color="auto"/>
          </w:divBdr>
          <w:divsChild>
            <w:div w:id="12340599">
              <w:marLeft w:val="0"/>
              <w:marRight w:val="0"/>
              <w:marTop w:val="0"/>
              <w:marBottom w:val="0"/>
              <w:divBdr>
                <w:top w:val="none" w:sz="0" w:space="0" w:color="auto"/>
                <w:left w:val="none" w:sz="0" w:space="0" w:color="auto"/>
                <w:bottom w:val="none" w:sz="0" w:space="0" w:color="auto"/>
                <w:right w:val="none" w:sz="0" w:space="0" w:color="auto"/>
              </w:divBdr>
            </w:div>
            <w:div w:id="1895196191">
              <w:marLeft w:val="0"/>
              <w:marRight w:val="0"/>
              <w:marTop w:val="0"/>
              <w:marBottom w:val="0"/>
              <w:divBdr>
                <w:top w:val="none" w:sz="0" w:space="0" w:color="auto"/>
                <w:left w:val="none" w:sz="0" w:space="0" w:color="auto"/>
                <w:bottom w:val="none" w:sz="0" w:space="0" w:color="auto"/>
                <w:right w:val="none" w:sz="0" w:space="0" w:color="auto"/>
              </w:divBdr>
            </w:div>
          </w:divsChild>
        </w:div>
        <w:div w:id="1877694019">
          <w:marLeft w:val="-90"/>
          <w:marRight w:val="-90"/>
          <w:marTop w:val="0"/>
          <w:marBottom w:val="0"/>
          <w:divBdr>
            <w:top w:val="none" w:sz="0" w:space="0" w:color="auto"/>
            <w:left w:val="none" w:sz="0" w:space="0" w:color="auto"/>
            <w:bottom w:val="none" w:sz="0" w:space="0" w:color="auto"/>
            <w:right w:val="none" w:sz="0" w:space="0" w:color="auto"/>
          </w:divBdr>
          <w:divsChild>
            <w:div w:id="66651493">
              <w:marLeft w:val="0"/>
              <w:marRight w:val="0"/>
              <w:marTop w:val="0"/>
              <w:marBottom w:val="0"/>
              <w:divBdr>
                <w:top w:val="none" w:sz="0" w:space="0" w:color="auto"/>
                <w:left w:val="none" w:sz="0" w:space="0" w:color="auto"/>
                <w:bottom w:val="none" w:sz="0" w:space="0" w:color="auto"/>
                <w:right w:val="none" w:sz="0" w:space="0" w:color="auto"/>
              </w:divBdr>
            </w:div>
            <w:div w:id="1803227530">
              <w:marLeft w:val="0"/>
              <w:marRight w:val="0"/>
              <w:marTop w:val="0"/>
              <w:marBottom w:val="0"/>
              <w:divBdr>
                <w:top w:val="none" w:sz="0" w:space="0" w:color="auto"/>
                <w:left w:val="none" w:sz="0" w:space="0" w:color="auto"/>
                <w:bottom w:val="none" w:sz="0" w:space="0" w:color="auto"/>
                <w:right w:val="none" w:sz="0" w:space="0" w:color="auto"/>
              </w:divBdr>
            </w:div>
          </w:divsChild>
        </w:div>
        <w:div w:id="1949503148">
          <w:marLeft w:val="-90"/>
          <w:marRight w:val="-90"/>
          <w:marTop w:val="0"/>
          <w:marBottom w:val="0"/>
          <w:divBdr>
            <w:top w:val="none" w:sz="0" w:space="0" w:color="auto"/>
            <w:left w:val="none" w:sz="0" w:space="0" w:color="auto"/>
            <w:bottom w:val="none" w:sz="0" w:space="0" w:color="auto"/>
            <w:right w:val="none" w:sz="0" w:space="0" w:color="auto"/>
          </w:divBdr>
          <w:divsChild>
            <w:div w:id="1610817253">
              <w:marLeft w:val="0"/>
              <w:marRight w:val="0"/>
              <w:marTop w:val="0"/>
              <w:marBottom w:val="0"/>
              <w:divBdr>
                <w:top w:val="none" w:sz="0" w:space="0" w:color="auto"/>
                <w:left w:val="none" w:sz="0" w:space="0" w:color="auto"/>
                <w:bottom w:val="none" w:sz="0" w:space="0" w:color="auto"/>
                <w:right w:val="none" w:sz="0" w:space="0" w:color="auto"/>
              </w:divBdr>
            </w:div>
            <w:div w:id="13188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10013">
      <w:bodyDiv w:val="1"/>
      <w:marLeft w:val="0"/>
      <w:marRight w:val="0"/>
      <w:marTop w:val="0"/>
      <w:marBottom w:val="0"/>
      <w:divBdr>
        <w:top w:val="none" w:sz="0" w:space="0" w:color="auto"/>
        <w:left w:val="none" w:sz="0" w:space="0" w:color="auto"/>
        <w:bottom w:val="none" w:sz="0" w:space="0" w:color="auto"/>
        <w:right w:val="none" w:sz="0" w:space="0" w:color="auto"/>
      </w:divBdr>
    </w:div>
    <w:div w:id="1793205471">
      <w:bodyDiv w:val="1"/>
      <w:marLeft w:val="0"/>
      <w:marRight w:val="0"/>
      <w:marTop w:val="0"/>
      <w:marBottom w:val="0"/>
      <w:divBdr>
        <w:top w:val="none" w:sz="0" w:space="0" w:color="auto"/>
        <w:left w:val="none" w:sz="0" w:space="0" w:color="auto"/>
        <w:bottom w:val="none" w:sz="0" w:space="0" w:color="auto"/>
        <w:right w:val="none" w:sz="0" w:space="0" w:color="auto"/>
      </w:divBdr>
    </w:div>
    <w:div w:id="194164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py" TargetMode="External"/><Relationship Id="rId13" Type="http://schemas.openxmlformats.org/officeDocument/2006/relationships/hyperlink" Target="mailto:contrataciones@rec.una.py"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igente.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rataciones@rec.una.p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quisiciones.una.p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529CCECA4462FAD3652F75DED2F08"/>
        <w:category>
          <w:name w:val="General"/>
          <w:gallery w:val="placeholder"/>
        </w:category>
        <w:types>
          <w:type w:val="bbPlcHdr"/>
        </w:types>
        <w:behaviors>
          <w:behavior w:val="content"/>
        </w:behaviors>
        <w:guid w:val="{DD335216-0E3C-4FC3-8890-22BE8A98329B}"/>
      </w:docPartPr>
      <w:docPartBody>
        <w:p w:rsidR="00AF7C0E" w:rsidRDefault="00C01D87" w:rsidP="00C01D87">
          <w:pPr>
            <w:pStyle w:val="67E529CCECA4462FAD3652F75DED2F08"/>
          </w:pPr>
          <w:r w:rsidRPr="00377C75">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D87"/>
    <w:rsid w:val="00015B8F"/>
    <w:rsid w:val="000C2587"/>
    <w:rsid w:val="0014123B"/>
    <w:rsid w:val="001417CF"/>
    <w:rsid w:val="001647FA"/>
    <w:rsid w:val="001E7BC9"/>
    <w:rsid w:val="00223479"/>
    <w:rsid w:val="0022735D"/>
    <w:rsid w:val="002C6B52"/>
    <w:rsid w:val="002D064E"/>
    <w:rsid w:val="003206E5"/>
    <w:rsid w:val="0041670A"/>
    <w:rsid w:val="004251E0"/>
    <w:rsid w:val="0043727E"/>
    <w:rsid w:val="00467434"/>
    <w:rsid w:val="0046798B"/>
    <w:rsid w:val="00531237"/>
    <w:rsid w:val="005D0A3A"/>
    <w:rsid w:val="00613043"/>
    <w:rsid w:val="00645704"/>
    <w:rsid w:val="00793C06"/>
    <w:rsid w:val="007B2FA4"/>
    <w:rsid w:val="008072F5"/>
    <w:rsid w:val="008A1586"/>
    <w:rsid w:val="008B7840"/>
    <w:rsid w:val="008D243B"/>
    <w:rsid w:val="009448F8"/>
    <w:rsid w:val="00957C76"/>
    <w:rsid w:val="00A011AE"/>
    <w:rsid w:val="00A03E08"/>
    <w:rsid w:val="00AF7C0E"/>
    <w:rsid w:val="00B109F0"/>
    <w:rsid w:val="00B327D9"/>
    <w:rsid w:val="00BE33B5"/>
    <w:rsid w:val="00C01D87"/>
    <w:rsid w:val="00C167E9"/>
    <w:rsid w:val="00C47622"/>
    <w:rsid w:val="00C92756"/>
    <w:rsid w:val="00CE4B9C"/>
    <w:rsid w:val="00D756F3"/>
    <w:rsid w:val="00F17C3D"/>
    <w:rsid w:val="00F222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01D87"/>
    <w:rPr>
      <w:color w:val="808080"/>
    </w:rPr>
  </w:style>
  <w:style w:type="paragraph" w:customStyle="1" w:styleId="67E529CCECA4462FAD3652F75DED2F08">
    <w:name w:val="67E529CCECA4462FAD3652F75DED2F08"/>
    <w:rsid w:val="00C01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9AB0D-38AF-4475-AC18-298F3EBB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96</Pages>
  <Words>33014</Words>
  <Characters>181577</Characters>
  <Application>Microsoft Office Word</Application>
  <DocSecurity>0</DocSecurity>
  <Lines>1513</Lines>
  <Paragraphs>428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Leticia Salinas</cp:lastModifiedBy>
  <cp:revision>4</cp:revision>
  <cp:lastPrinted>2025-08-25T17:52:00Z</cp:lastPrinted>
  <dcterms:created xsi:type="dcterms:W3CDTF">2026-07-03T15:21:00Z</dcterms:created>
  <dcterms:modified xsi:type="dcterms:W3CDTF">2026-07-03T16:05:00Z</dcterms:modified>
</cp:coreProperties>
</file>